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8417" w14:textId="77777777" w:rsidR="001D545C" w:rsidRPr="008366D8" w:rsidRDefault="001D545C" w:rsidP="00D030A2">
      <w:pPr>
        <w:ind w:right="-142"/>
        <w:rPr>
          <w:sz w:val="22"/>
          <w:szCs w:val="22"/>
        </w:rPr>
      </w:pPr>
    </w:p>
    <w:tbl>
      <w:tblPr>
        <w:tblW w:w="9450" w:type="dxa"/>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628"/>
        <w:gridCol w:w="2160"/>
        <w:gridCol w:w="4662"/>
      </w:tblGrid>
      <w:tr w:rsidR="001C3C17" w:rsidRPr="00137840" w14:paraId="39737413" w14:textId="77777777" w:rsidTr="00BE60C2">
        <w:trPr>
          <w:trHeight w:val="172"/>
        </w:trPr>
        <w:tc>
          <w:tcPr>
            <w:tcW w:w="2628" w:type="dxa"/>
            <w:vMerge w:val="restart"/>
          </w:tcPr>
          <w:p w14:paraId="008E3DBA" w14:textId="77777777" w:rsidR="001C3C17" w:rsidRPr="00137840" w:rsidRDefault="005447DE" w:rsidP="00A533B8">
            <w:pPr>
              <w:spacing w:line="276" w:lineRule="auto"/>
              <w:rPr>
                <w:b/>
                <w:sz w:val="22"/>
                <w:szCs w:val="22"/>
                <w:highlight w:val="yellow"/>
                <w:u w:val="single"/>
                <w:lang w:val="en-GB"/>
              </w:rPr>
            </w:pPr>
            <w:r w:rsidRPr="00137840">
              <w:rPr>
                <w:b/>
                <w:noProof/>
                <w:sz w:val="22"/>
                <w:szCs w:val="22"/>
                <w:u w:val="single"/>
                <w:lang w:val="en-GB"/>
              </w:rPr>
              <w:drawing>
                <wp:inline distT="0" distB="0" distL="0" distR="0" wp14:anchorId="55FC5F67" wp14:editId="4DE4CD61">
                  <wp:extent cx="1557655" cy="1506855"/>
                  <wp:effectExtent l="0" t="0" r="0" b="0"/>
                  <wp:docPr id="1" name="Picture 1" descr="A person in a suit&#13;&#13;&#13;&#13;&#13;&#13;&#13;&#13;&#13;&#13;&#13;&#10;&#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erson in a suit&#13;&#13;&#13;&#13;&#13;&#13;&#13;&#13;&#13;&#13;&#13;&#10;&#13;&#13;&#13;&#13;&#13;&#13;&#13;&#13;&#13;&#13;&#13;&#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655" cy="1506855"/>
                          </a:xfrm>
                          <a:prstGeom prst="rect">
                            <a:avLst/>
                          </a:prstGeom>
                          <a:noFill/>
                          <a:ln>
                            <a:noFill/>
                          </a:ln>
                        </pic:spPr>
                      </pic:pic>
                    </a:graphicData>
                  </a:graphic>
                </wp:inline>
              </w:drawing>
            </w:r>
          </w:p>
          <w:p w14:paraId="6BE2B41A" w14:textId="77777777" w:rsidR="001C3C17" w:rsidRPr="00137840" w:rsidRDefault="001C3C17" w:rsidP="00A533B8">
            <w:pPr>
              <w:spacing w:line="276" w:lineRule="auto"/>
              <w:rPr>
                <w:b/>
                <w:sz w:val="22"/>
                <w:szCs w:val="22"/>
                <w:highlight w:val="yellow"/>
                <w:u w:val="single"/>
                <w:lang w:val="en-GB"/>
              </w:rPr>
            </w:pPr>
          </w:p>
          <w:p w14:paraId="732437BD" w14:textId="77777777" w:rsidR="001C3C17" w:rsidRPr="00137840" w:rsidRDefault="001C3C17" w:rsidP="00A533B8">
            <w:pPr>
              <w:spacing w:line="276" w:lineRule="auto"/>
              <w:rPr>
                <w:b/>
                <w:sz w:val="22"/>
                <w:szCs w:val="22"/>
                <w:highlight w:val="yellow"/>
                <w:u w:val="single"/>
                <w:lang w:val="en-GB"/>
              </w:rPr>
            </w:pPr>
          </w:p>
          <w:p w14:paraId="4F7B416C" w14:textId="77777777" w:rsidR="001C3C17" w:rsidRPr="00137840" w:rsidRDefault="001C3C17" w:rsidP="00A533B8">
            <w:pPr>
              <w:spacing w:line="276" w:lineRule="auto"/>
              <w:rPr>
                <w:b/>
                <w:sz w:val="22"/>
                <w:szCs w:val="22"/>
                <w:highlight w:val="yellow"/>
                <w:u w:val="single"/>
                <w:lang w:val="en-GB"/>
              </w:rPr>
            </w:pPr>
          </w:p>
          <w:p w14:paraId="4689BE80" w14:textId="77777777" w:rsidR="001C3C17" w:rsidRPr="00137840" w:rsidRDefault="001C3C17" w:rsidP="00F85F62">
            <w:pPr>
              <w:spacing w:line="276" w:lineRule="auto"/>
              <w:jc w:val="both"/>
              <w:rPr>
                <w:b/>
                <w:sz w:val="22"/>
                <w:szCs w:val="22"/>
                <w:highlight w:val="yellow"/>
                <w:u w:val="single"/>
                <w:lang w:val="en-GB"/>
              </w:rPr>
            </w:pPr>
          </w:p>
        </w:tc>
        <w:tc>
          <w:tcPr>
            <w:tcW w:w="2160" w:type="dxa"/>
          </w:tcPr>
          <w:p w14:paraId="2D5E0E6A" w14:textId="77777777" w:rsidR="001C3C17" w:rsidRPr="00137840" w:rsidRDefault="001C3C17" w:rsidP="00A533B8">
            <w:pPr>
              <w:spacing w:line="276" w:lineRule="auto"/>
              <w:rPr>
                <w:b/>
                <w:sz w:val="22"/>
                <w:szCs w:val="22"/>
                <w:lang w:val="en-GB"/>
              </w:rPr>
            </w:pPr>
            <w:r w:rsidRPr="00137840">
              <w:rPr>
                <w:b/>
                <w:sz w:val="22"/>
                <w:szCs w:val="22"/>
                <w:lang w:val="en-GB"/>
              </w:rPr>
              <w:t>Title:</w:t>
            </w:r>
          </w:p>
        </w:tc>
        <w:tc>
          <w:tcPr>
            <w:tcW w:w="4662" w:type="dxa"/>
          </w:tcPr>
          <w:p w14:paraId="0C5BD127" w14:textId="77777777" w:rsidR="001C3C17" w:rsidRPr="00137840" w:rsidRDefault="00020B02" w:rsidP="00725868">
            <w:pPr>
              <w:spacing w:line="276" w:lineRule="auto"/>
              <w:jc w:val="both"/>
              <w:rPr>
                <w:sz w:val="22"/>
                <w:szCs w:val="22"/>
                <w:lang w:val="en-GB"/>
              </w:rPr>
            </w:pPr>
            <w:r w:rsidRPr="00137840">
              <w:rPr>
                <w:sz w:val="22"/>
                <w:szCs w:val="22"/>
                <w:lang w:val="en-GB"/>
              </w:rPr>
              <w:t>Mr.</w:t>
            </w:r>
          </w:p>
        </w:tc>
      </w:tr>
      <w:tr w:rsidR="001C3C17" w:rsidRPr="00137840" w14:paraId="47F0DEE5" w14:textId="77777777" w:rsidTr="00BE60C2">
        <w:trPr>
          <w:trHeight w:val="172"/>
        </w:trPr>
        <w:tc>
          <w:tcPr>
            <w:tcW w:w="2628" w:type="dxa"/>
            <w:vMerge/>
          </w:tcPr>
          <w:p w14:paraId="1D38CB81" w14:textId="77777777" w:rsidR="001C3C17" w:rsidRPr="00137840" w:rsidRDefault="001C3C17" w:rsidP="00F85F62">
            <w:pPr>
              <w:spacing w:line="276" w:lineRule="auto"/>
              <w:jc w:val="both"/>
              <w:rPr>
                <w:bCs/>
                <w:sz w:val="22"/>
                <w:szCs w:val="22"/>
                <w:lang w:val="en-GB"/>
              </w:rPr>
            </w:pPr>
          </w:p>
        </w:tc>
        <w:tc>
          <w:tcPr>
            <w:tcW w:w="2160" w:type="dxa"/>
          </w:tcPr>
          <w:p w14:paraId="26E3DC19" w14:textId="77777777" w:rsidR="001C3C17" w:rsidRPr="00137840" w:rsidRDefault="001C3C17" w:rsidP="00A533B8">
            <w:pPr>
              <w:spacing w:line="276" w:lineRule="auto"/>
              <w:rPr>
                <w:sz w:val="22"/>
                <w:szCs w:val="22"/>
                <w:lang w:val="en-GB"/>
              </w:rPr>
            </w:pPr>
            <w:r w:rsidRPr="00137840">
              <w:rPr>
                <w:b/>
                <w:sz w:val="22"/>
                <w:szCs w:val="22"/>
                <w:lang w:val="en-GB"/>
              </w:rPr>
              <w:t>First / Given Name:</w:t>
            </w:r>
          </w:p>
        </w:tc>
        <w:tc>
          <w:tcPr>
            <w:tcW w:w="4662" w:type="dxa"/>
          </w:tcPr>
          <w:p w14:paraId="0E7F6275" w14:textId="77777777" w:rsidR="001C3C17" w:rsidRPr="00137840" w:rsidRDefault="00020B02" w:rsidP="00A533B8">
            <w:pPr>
              <w:spacing w:line="276" w:lineRule="auto"/>
              <w:rPr>
                <w:sz w:val="22"/>
                <w:szCs w:val="22"/>
                <w:lang w:val="en-GB"/>
              </w:rPr>
            </w:pPr>
            <w:r w:rsidRPr="00137840">
              <w:rPr>
                <w:sz w:val="22"/>
                <w:szCs w:val="22"/>
                <w:lang w:val="en-GB"/>
              </w:rPr>
              <w:t>Peter Edward</w:t>
            </w:r>
          </w:p>
        </w:tc>
      </w:tr>
      <w:tr w:rsidR="001C3C17" w:rsidRPr="00137840" w14:paraId="1BAF1A9B" w14:textId="77777777" w:rsidTr="00BE60C2">
        <w:trPr>
          <w:trHeight w:val="262"/>
        </w:trPr>
        <w:tc>
          <w:tcPr>
            <w:tcW w:w="2628" w:type="dxa"/>
            <w:vMerge/>
          </w:tcPr>
          <w:p w14:paraId="7EA3E076" w14:textId="77777777" w:rsidR="001C3C17" w:rsidRPr="00137840" w:rsidRDefault="001C3C17" w:rsidP="00A533B8">
            <w:pPr>
              <w:spacing w:line="276" w:lineRule="auto"/>
              <w:rPr>
                <w:b/>
                <w:sz w:val="22"/>
                <w:szCs w:val="22"/>
              </w:rPr>
            </w:pPr>
          </w:p>
        </w:tc>
        <w:tc>
          <w:tcPr>
            <w:tcW w:w="2160" w:type="dxa"/>
          </w:tcPr>
          <w:p w14:paraId="6FE716EF" w14:textId="77777777" w:rsidR="001C3C17" w:rsidRPr="00137840" w:rsidRDefault="001C3C17" w:rsidP="00A533B8">
            <w:pPr>
              <w:spacing w:line="276" w:lineRule="auto"/>
              <w:rPr>
                <w:b/>
                <w:sz w:val="22"/>
                <w:szCs w:val="22"/>
              </w:rPr>
            </w:pPr>
            <w:r w:rsidRPr="00137840">
              <w:rPr>
                <w:b/>
                <w:sz w:val="22"/>
                <w:szCs w:val="22"/>
              </w:rPr>
              <w:t>Family / Surname:</w:t>
            </w:r>
          </w:p>
        </w:tc>
        <w:tc>
          <w:tcPr>
            <w:tcW w:w="4662" w:type="dxa"/>
          </w:tcPr>
          <w:p w14:paraId="0F67C9A3" w14:textId="77777777" w:rsidR="001C3C17" w:rsidRPr="00137840" w:rsidRDefault="00020B02" w:rsidP="00A533B8">
            <w:pPr>
              <w:spacing w:line="276" w:lineRule="auto"/>
              <w:rPr>
                <w:sz w:val="22"/>
                <w:szCs w:val="22"/>
                <w:lang w:val="en-GB"/>
              </w:rPr>
            </w:pPr>
            <w:r w:rsidRPr="00137840">
              <w:rPr>
                <w:sz w:val="22"/>
                <w:szCs w:val="22"/>
                <w:lang w:val="en-GB"/>
              </w:rPr>
              <w:t xml:space="preserve">Nahmias Reiss </w:t>
            </w:r>
          </w:p>
        </w:tc>
      </w:tr>
      <w:tr w:rsidR="001C3C17" w:rsidRPr="008366D8" w14:paraId="041FC898" w14:textId="77777777" w:rsidTr="00BE60C2">
        <w:trPr>
          <w:trHeight w:val="253"/>
        </w:trPr>
        <w:tc>
          <w:tcPr>
            <w:tcW w:w="2628" w:type="dxa"/>
            <w:vMerge/>
          </w:tcPr>
          <w:p w14:paraId="279C5C1D" w14:textId="77777777" w:rsidR="001C3C17" w:rsidRPr="00137840" w:rsidRDefault="001C3C17" w:rsidP="00A533B8">
            <w:pPr>
              <w:spacing w:line="276" w:lineRule="auto"/>
              <w:rPr>
                <w:b/>
                <w:sz w:val="22"/>
                <w:szCs w:val="22"/>
              </w:rPr>
            </w:pPr>
          </w:p>
        </w:tc>
        <w:tc>
          <w:tcPr>
            <w:tcW w:w="2160" w:type="dxa"/>
          </w:tcPr>
          <w:p w14:paraId="34869A08" w14:textId="77777777" w:rsidR="001C3C17" w:rsidRPr="00137840" w:rsidRDefault="001C3C17" w:rsidP="00A533B8">
            <w:pPr>
              <w:spacing w:line="276" w:lineRule="auto"/>
              <w:rPr>
                <w:b/>
                <w:sz w:val="22"/>
                <w:szCs w:val="22"/>
              </w:rPr>
            </w:pPr>
            <w:r w:rsidRPr="00137840">
              <w:rPr>
                <w:b/>
                <w:sz w:val="22"/>
                <w:szCs w:val="22"/>
              </w:rPr>
              <w:t>Post-Nominals:</w:t>
            </w:r>
          </w:p>
        </w:tc>
        <w:tc>
          <w:tcPr>
            <w:tcW w:w="4662" w:type="dxa"/>
          </w:tcPr>
          <w:p w14:paraId="2ACFE20D" w14:textId="77777777" w:rsidR="001C3C17" w:rsidRPr="00137840" w:rsidRDefault="00020B02" w:rsidP="006D1B87">
            <w:pPr>
              <w:spacing w:line="276" w:lineRule="auto"/>
              <w:jc w:val="both"/>
              <w:rPr>
                <w:sz w:val="22"/>
                <w:szCs w:val="22"/>
                <w:lang w:val="es-ES"/>
              </w:rPr>
            </w:pPr>
            <w:r w:rsidRPr="00137840">
              <w:rPr>
                <w:sz w:val="22"/>
                <w:szCs w:val="22"/>
                <w:lang w:val="es-ES"/>
              </w:rPr>
              <w:t xml:space="preserve">FCIArb, Juris Doctor, Master Asesoría Jurídica de Empresa, </w:t>
            </w:r>
            <w:r w:rsidR="009337F2" w:rsidRPr="00137840">
              <w:rPr>
                <w:sz w:val="22"/>
                <w:szCs w:val="22"/>
                <w:lang w:val="es-ES"/>
              </w:rPr>
              <w:t xml:space="preserve"> </w:t>
            </w:r>
          </w:p>
        </w:tc>
      </w:tr>
      <w:tr w:rsidR="001C3C17" w:rsidRPr="00137840" w14:paraId="12D2F6AA" w14:textId="77777777" w:rsidTr="00BE60C2">
        <w:trPr>
          <w:trHeight w:val="253"/>
        </w:trPr>
        <w:tc>
          <w:tcPr>
            <w:tcW w:w="2628" w:type="dxa"/>
            <w:vMerge/>
          </w:tcPr>
          <w:p w14:paraId="525F27B7" w14:textId="77777777" w:rsidR="001C3C17" w:rsidRPr="00137840" w:rsidRDefault="001C3C17" w:rsidP="00A533B8">
            <w:pPr>
              <w:spacing w:line="276" w:lineRule="auto"/>
              <w:rPr>
                <w:b/>
                <w:sz w:val="22"/>
                <w:szCs w:val="22"/>
                <w:lang w:val="es-ES"/>
              </w:rPr>
            </w:pPr>
          </w:p>
        </w:tc>
        <w:tc>
          <w:tcPr>
            <w:tcW w:w="2160" w:type="dxa"/>
          </w:tcPr>
          <w:p w14:paraId="27836FAC" w14:textId="77777777" w:rsidR="001C3C17" w:rsidRPr="00137840" w:rsidRDefault="001C3C17" w:rsidP="00A533B8">
            <w:pPr>
              <w:spacing w:line="276" w:lineRule="auto"/>
              <w:rPr>
                <w:b/>
                <w:sz w:val="22"/>
                <w:szCs w:val="22"/>
              </w:rPr>
            </w:pPr>
            <w:r w:rsidRPr="00137840">
              <w:rPr>
                <w:b/>
                <w:sz w:val="22"/>
                <w:szCs w:val="22"/>
              </w:rPr>
              <w:t>Address:</w:t>
            </w:r>
          </w:p>
        </w:tc>
        <w:tc>
          <w:tcPr>
            <w:tcW w:w="4662" w:type="dxa"/>
          </w:tcPr>
          <w:p w14:paraId="785FEB4E" w14:textId="77777777" w:rsidR="001C3C17" w:rsidRPr="00137840" w:rsidRDefault="00020B02" w:rsidP="006D1B87">
            <w:pPr>
              <w:spacing w:line="276" w:lineRule="auto"/>
              <w:jc w:val="both"/>
              <w:rPr>
                <w:sz w:val="22"/>
                <w:szCs w:val="22"/>
                <w:lang w:val="es-ES"/>
              </w:rPr>
            </w:pPr>
            <w:r w:rsidRPr="00137840">
              <w:rPr>
                <w:sz w:val="22"/>
                <w:szCs w:val="22"/>
                <w:lang w:val="es-ES"/>
              </w:rPr>
              <w:t xml:space="preserve">Calle Francisca Moreno 1, 8 </w:t>
            </w:r>
            <w:r w:rsidR="00A26838" w:rsidRPr="00137840">
              <w:rPr>
                <w:sz w:val="22"/>
                <w:szCs w:val="22"/>
                <w:lang w:val="es-ES"/>
              </w:rPr>
              <w:t>Dcha.</w:t>
            </w:r>
            <w:r w:rsidRPr="00137840">
              <w:rPr>
                <w:sz w:val="22"/>
                <w:szCs w:val="22"/>
                <w:lang w:val="es-ES"/>
              </w:rPr>
              <w:t>, Esc</w:t>
            </w:r>
            <w:r w:rsidR="00A26838" w:rsidRPr="00137840">
              <w:rPr>
                <w:sz w:val="22"/>
                <w:szCs w:val="22"/>
                <w:lang w:val="es-ES"/>
              </w:rPr>
              <w:t>.</w:t>
            </w:r>
            <w:r w:rsidRPr="00137840">
              <w:rPr>
                <w:sz w:val="22"/>
                <w:szCs w:val="22"/>
                <w:lang w:val="es-ES"/>
              </w:rPr>
              <w:t xml:space="preserve"> </w:t>
            </w:r>
            <w:r w:rsidR="00A26838" w:rsidRPr="00137840">
              <w:rPr>
                <w:sz w:val="22"/>
                <w:szCs w:val="22"/>
                <w:lang w:val="es-ES"/>
              </w:rPr>
              <w:t>Izqda.</w:t>
            </w:r>
            <w:r w:rsidRPr="00137840">
              <w:rPr>
                <w:sz w:val="22"/>
                <w:szCs w:val="22"/>
                <w:lang w:val="es-ES"/>
              </w:rPr>
              <w:t xml:space="preserve">, 28001 Madrid (Spain) </w:t>
            </w:r>
          </w:p>
        </w:tc>
      </w:tr>
      <w:tr w:rsidR="001C3C17" w:rsidRPr="00137840" w14:paraId="05F8C232" w14:textId="77777777" w:rsidTr="00BE60C2">
        <w:trPr>
          <w:trHeight w:val="322"/>
        </w:trPr>
        <w:tc>
          <w:tcPr>
            <w:tcW w:w="2628" w:type="dxa"/>
            <w:vMerge/>
          </w:tcPr>
          <w:p w14:paraId="424D9DD1" w14:textId="77777777" w:rsidR="001C3C17" w:rsidRPr="00137840" w:rsidRDefault="001C3C17" w:rsidP="00A533B8">
            <w:pPr>
              <w:spacing w:line="276" w:lineRule="auto"/>
              <w:rPr>
                <w:b/>
                <w:sz w:val="22"/>
                <w:szCs w:val="22"/>
                <w:lang w:val="es-ES"/>
              </w:rPr>
            </w:pPr>
          </w:p>
        </w:tc>
        <w:tc>
          <w:tcPr>
            <w:tcW w:w="2160" w:type="dxa"/>
          </w:tcPr>
          <w:p w14:paraId="36AC2E66" w14:textId="77777777" w:rsidR="001C3C17" w:rsidRPr="00137840" w:rsidRDefault="001C3C17" w:rsidP="00A533B8">
            <w:pPr>
              <w:spacing w:line="276" w:lineRule="auto"/>
              <w:rPr>
                <w:b/>
                <w:sz w:val="22"/>
                <w:szCs w:val="22"/>
              </w:rPr>
            </w:pPr>
            <w:r w:rsidRPr="00137840">
              <w:rPr>
                <w:b/>
                <w:sz w:val="22"/>
                <w:szCs w:val="22"/>
              </w:rPr>
              <w:t>Telephone:</w:t>
            </w:r>
          </w:p>
        </w:tc>
        <w:tc>
          <w:tcPr>
            <w:tcW w:w="4662" w:type="dxa"/>
          </w:tcPr>
          <w:p w14:paraId="067CBFDF" w14:textId="77777777" w:rsidR="001C3C17" w:rsidRPr="00137840" w:rsidRDefault="001C3C17" w:rsidP="00A533B8">
            <w:pPr>
              <w:spacing w:line="276" w:lineRule="auto"/>
              <w:rPr>
                <w:sz w:val="22"/>
                <w:szCs w:val="22"/>
              </w:rPr>
            </w:pPr>
            <w:r w:rsidRPr="00137840">
              <w:rPr>
                <w:sz w:val="22"/>
                <w:szCs w:val="22"/>
                <w:u w:val="single"/>
              </w:rPr>
              <w:t>Mobile</w:t>
            </w:r>
            <w:r w:rsidRPr="00137840">
              <w:rPr>
                <w:sz w:val="22"/>
                <w:szCs w:val="22"/>
              </w:rPr>
              <w:t xml:space="preserve">: </w:t>
            </w:r>
            <w:r w:rsidR="00020B02" w:rsidRPr="00137840">
              <w:rPr>
                <w:sz w:val="22"/>
                <w:szCs w:val="22"/>
              </w:rPr>
              <w:t xml:space="preserve">+34 638 880 321 </w:t>
            </w:r>
          </w:p>
          <w:p w14:paraId="7AD9860E" w14:textId="77777777" w:rsidR="001C3C17" w:rsidRPr="00137840" w:rsidRDefault="001C3C17" w:rsidP="00A533B8">
            <w:pPr>
              <w:spacing w:line="276" w:lineRule="auto"/>
              <w:rPr>
                <w:sz w:val="22"/>
                <w:szCs w:val="22"/>
              </w:rPr>
            </w:pPr>
            <w:r w:rsidRPr="00137840">
              <w:rPr>
                <w:sz w:val="22"/>
                <w:szCs w:val="22"/>
                <w:u w:val="single"/>
              </w:rPr>
              <w:t>Landline</w:t>
            </w:r>
            <w:r w:rsidRPr="00137840">
              <w:rPr>
                <w:sz w:val="22"/>
                <w:szCs w:val="22"/>
              </w:rPr>
              <w:t xml:space="preserve">: </w:t>
            </w:r>
            <w:r w:rsidR="00020B02" w:rsidRPr="00137840">
              <w:rPr>
                <w:sz w:val="22"/>
                <w:szCs w:val="22"/>
              </w:rPr>
              <w:t>+34 91 575</w:t>
            </w:r>
            <w:r w:rsidR="006C59CF" w:rsidRPr="00137840">
              <w:rPr>
                <w:sz w:val="22"/>
                <w:szCs w:val="22"/>
              </w:rPr>
              <w:t xml:space="preserve"> 4262 </w:t>
            </w:r>
          </w:p>
        </w:tc>
      </w:tr>
      <w:tr w:rsidR="001C3C17" w:rsidRPr="00137840" w14:paraId="5770E339" w14:textId="77777777" w:rsidTr="00BE60C2">
        <w:trPr>
          <w:trHeight w:val="227"/>
        </w:trPr>
        <w:tc>
          <w:tcPr>
            <w:tcW w:w="2628" w:type="dxa"/>
            <w:vMerge/>
          </w:tcPr>
          <w:p w14:paraId="333EBC6D" w14:textId="77777777" w:rsidR="001C3C17" w:rsidRPr="00137840" w:rsidRDefault="001C3C17" w:rsidP="00A533B8">
            <w:pPr>
              <w:spacing w:line="276" w:lineRule="auto"/>
              <w:rPr>
                <w:b/>
                <w:sz w:val="22"/>
                <w:szCs w:val="22"/>
              </w:rPr>
            </w:pPr>
          </w:p>
        </w:tc>
        <w:tc>
          <w:tcPr>
            <w:tcW w:w="2160" w:type="dxa"/>
          </w:tcPr>
          <w:p w14:paraId="08CF6749" w14:textId="77777777" w:rsidR="001C3C17" w:rsidRPr="00137840" w:rsidRDefault="001C3C17" w:rsidP="00A533B8">
            <w:pPr>
              <w:spacing w:line="276" w:lineRule="auto"/>
              <w:rPr>
                <w:b/>
                <w:sz w:val="22"/>
                <w:szCs w:val="22"/>
              </w:rPr>
            </w:pPr>
            <w:r w:rsidRPr="00137840">
              <w:rPr>
                <w:b/>
                <w:sz w:val="22"/>
                <w:szCs w:val="22"/>
              </w:rPr>
              <w:t>Email:</w:t>
            </w:r>
          </w:p>
        </w:tc>
        <w:tc>
          <w:tcPr>
            <w:tcW w:w="4662" w:type="dxa"/>
          </w:tcPr>
          <w:p w14:paraId="17BA0C27" w14:textId="77777777" w:rsidR="001C3C17" w:rsidRPr="00137840" w:rsidRDefault="006C59CF" w:rsidP="00A533B8">
            <w:pPr>
              <w:spacing w:line="276" w:lineRule="auto"/>
              <w:rPr>
                <w:sz w:val="22"/>
                <w:szCs w:val="22"/>
              </w:rPr>
            </w:pPr>
            <w:r w:rsidRPr="00137840">
              <w:rPr>
                <w:sz w:val="22"/>
                <w:szCs w:val="22"/>
              </w:rPr>
              <w:t>peter@nahmiaslegal.com</w:t>
            </w:r>
          </w:p>
        </w:tc>
      </w:tr>
      <w:tr w:rsidR="001C3C17" w:rsidRPr="00137840" w14:paraId="28C32CB6" w14:textId="77777777" w:rsidTr="00BE60C2">
        <w:trPr>
          <w:trHeight w:val="227"/>
        </w:trPr>
        <w:tc>
          <w:tcPr>
            <w:tcW w:w="2628" w:type="dxa"/>
            <w:vMerge/>
          </w:tcPr>
          <w:p w14:paraId="20C9DE3F" w14:textId="77777777" w:rsidR="001C3C17" w:rsidRPr="00137840" w:rsidRDefault="001C3C17" w:rsidP="00A533B8">
            <w:pPr>
              <w:spacing w:line="276" w:lineRule="auto"/>
              <w:rPr>
                <w:b/>
                <w:sz w:val="22"/>
                <w:szCs w:val="22"/>
              </w:rPr>
            </w:pPr>
          </w:p>
        </w:tc>
        <w:tc>
          <w:tcPr>
            <w:tcW w:w="2160" w:type="dxa"/>
          </w:tcPr>
          <w:p w14:paraId="7B5FD6DF" w14:textId="77777777" w:rsidR="001C3C17" w:rsidRPr="00137840" w:rsidRDefault="001C3C17" w:rsidP="00A533B8">
            <w:pPr>
              <w:spacing w:line="276" w:lineRule="auto"/>
              <w:rPr>
                <w:b/>
                <w:sz w:val="22"/>
                <w:szCs w:val="22"/>
              </w:rPr>
            </w:pPr>
            <w:r w:rsidRPr="00137840">
              <w:rPr>
                <w:b/>
                <w:sz w:val="22"/>
                <w:szCs w:val="22"/>
              </w:rPr>
              <w:t>Nationalities:</w:t>
            </w:r>
          </w:p>
        </w:tc>
        <w:tc>
          <w:tcPr>
            <w:tcW w:w="4662" w:type="dxa"/>
          </w:tcPr>
          <w:p w14:paraId="26C32DDD" w14:textId="77777777" w:rsidR="001C3C17" w:rsidRPr="00137840" w:rsidRDefault="006C59CF" w:rsidP="00A533B8">
            <w:pPr>
              <w:spacing w:line="276" w:lineRule="auto"/>
              <w:rPr>
                <w:sz w:val="22"/>
                <w:szCs w:val="22"/>
              </w:rPr>
            </w:pPr>
            <w:r w:rsidRPr="00137840">
              <w:rPr>
                <w:sz w:val="22"/>
                <w:szCs w:val="22"/>
              </w:rPr>
              <w:t xml:space="preserve">Spain, United States </w:t>
            </w:r>
          </w:p>
        </w:tc>
      </w:tr>
      <w:tr w:rsidR="001C3C17" w:rsidRPr="00137840" w14:paraId="1C148C7E" w14:textId="77777777" w:rsidTr="008366D8">
        <w:trPr>
          <w:trHeight w:val="63"/>
        </w:trPr>
        <w:tc>
          <w:tcPr>
            <w:tcW w:w="2628" w:type="dxa"/>
            <w:vMerge/>
          </w:tcPr>
          <w:p w14:paraId="62970926" w14:textId="77777777" w:rsidR="001C3C17" w:rsidRPr="00137840" w:rsidRDefault="001C3C17" w:rsidP="00A533B8">
            <w:pPr>
              <w:spacing w:line="276" w:lineRule="auto"/>
              <w:rPr>
                <w:b/>
                <w:sz w:val="22"/>
                <w:szCs w:val="22"/>
              </w:rPr>
            </w:pPr>
          </w:p>
        </w:tc>
        <w:tc>
          <w:tcPr>
            <w:tcW w:w="2160" w:type="dxa"/>
          </w:tcPr>
          <w:p w14:paraId="5746D823" w14:textId="77777777" w:rsidR="001C3C17" w:rsidRPr="00137840" w:rsidRDefault="001C3C17" w:rsidP="00A533B8">
            <w:pPr>
              <w:spacing w:line="276" w:lineRule="auto"/>
              <w:rPr>
                <w:b/>
                <w:sz w:val="22"/>
                <w:szCs w:val="22"/>
              </w:rPr>
            </w:pPr>
            <w:r w:rsidRPr="00137840">
              <w:rPr>
                <w:b/>
                <w:sz w:val="22"/>
                <w:szCs w:val="22"/>
              </w:rPr>
              <w:t>Website:</w:t>
            </w:r>
          </w:p>
        </w:tc>
        <w:tc>
          <w:tcPr>
            <w:tcW w:w="4662" w:type="dxa"/>
          </w:tcPr>
          <w:p w14:paraId="53DE8EAE" w14:textId="77777777" w:rsidR="001C3C17" w:rsidRPr="00137840" w:rsidRDefault="006C59CF" w:rsidP="00A533B8">
            <w:pPr>
              <w:spacing w:line="276" w:lineRule="auto"/>
              <w:rPr>
                <w:sz w:val="22"/>
                <w:szCs w:val="22"/>
              </w:rPr>
            </w:pPr>
            <w:r w:rsidRPr="00137840">
              <w:rPr>
                <w:sz w:val="22"/>
                <w:szCs w:val="22"/>
              </w:rPr>
              <w:t>www.nahmiaslegal.com</w:t>
            </w:r>
          </w:p>
        </w:tc>
      </w:tr>
      <w:tr w:rsidR="00ED7B56" w:rsidRPr="00137840" w14:paraId="550B294E" w14:textId="77777777" w:rsidTr="00BE60C2">
        <w:trPr>
          <w:trHeight w:val="462"/>
        </w:trPr>
        <w:tc>
          <w:tcPr>
            <w:tcW w:w="9450" w:type="dxa"/>
            <w:gridSpan w:val="3"/>
            <w:shd w:val="clear" w:color="auto" w:fill="F2F2F2"/>
            <w:vAlign w:val="center"/>
          </w:tcPr>
          <w:p w14:paraId="5B5E8B19" w14:textId="77777777" w:rsidR="00ED7B56" w:rsidRPr="008366D8" w:rsidRDefault="00A26838" w:rsidP="00A26838">
            <w:pPr>
              <w:rPr>
                <w:sz w:val="22"/>
                <w:szCs w:val="22"/>
              </w:rPr>
            </w:pPr>
            <w:r w:rsidRPr="00137840">
              <w:rPr>
                <w:b/>
                <w:sz w:val="22"/>
                <w:szCs w:val="22"/>
              </w:rPr>
              <w:t xml:space="preserve">Bar Admission </w:t>
            </w:r>
            <w:r w:rsidRPr="00137840">
              <w:rPr>
                <w:bCs/>
                <w:sz w:val="22"/>
                <w:szCs w:val="22"/>
              </w:rPr>
              <w:t>(</w:t>
            </w:r>
            <w:r w:rsidRPr="00137840">
              <w:rPr>
                <w:bCs/>
                <w:i/>
                <w:iCs/>
                <w:sz w:val="22"/>
                <w:szCs w:val="22"/>
              </w:rPr>
              <w:t xml:space="preserve">with full rights of audience)  </w:t>
            </w:r>
          </w:p>
        </w:tc>
      </w:tr>
      <w:tr w:rsidR="00A26838" w:rsidRPr="00137840" w14:paraId="76B617D0" w14:textId="77777777" w:rsidTr="00D85C32">
        <w:trPr>
          <w:trHeight w:val="75"/>
        </w:trPr>
        <w:tc>
          <w:tcPr>
            <w:tcW w:w="9450" w:type="dxa"/>
            <w:gridSpan w:val="3"/>
            <w:shd w:val="clear" w:color="auto" w:fill="auto"/>
            <w:vAlign w:val="center"/>
          </w:tcPr>
          <w:p w14:paraId="6EC1C240" w14:textId="5D1F4EF8" w:rsidR="008C0023" w:rsidRPr="00137840" w:rsidRDefault="00605B73" w:rsidP="00A5315C">
            <w:pPr>
              <w:numPr>
                <w:ilvl w:val="0"/>
                <w:numId w:val="12"/>
              </w:numPr>
              <w:spacing w:line="276" w:lineRule="auto"/>
              <w:jc w:val="both"/>
              <w:rPr>
                <w:sz w:val="22"/>
                <w:szCs w:val="22"/>
              </w:rPr>
            </w:pPr>
            <w:r w:rsidRPr="00137840">
              <w:rPr>
                <w:sz w:val="22"/>
                <w:szCs w:val="22"/>
                <w:lang w:eastAsia="zh-CN"/>
              </w:rPr>
              <w:t xml:space="preserve">Madrid, </w:t>
            </w:r>
            <w:r w:rsidR="00A26838" w:rsidRPr="00137840">
              <w:rPr>
                <w:sz w:val="22"/>
                <w:szCs w:val="22"/>
                <w:lang w:eastAsia="zh-CN"/>
              </w:rPr>
              <w:t xml:space="preserve">Spain </w:t>
            </w:r>
            <w:r w:rsidR="00A26838" w:rsidRPr="00137840">
              <w:rPr>
                <w:sz w:val="22"/>
                <w:szCs w:val="22"/>
              </w:rPr>
              <w:t>(2001)</w:t>
            </w:r>
          </w:p>
          <w:p w14:paraId="1A45F7FB" w14:textId="77777777" w:rsidR="008C0023" w:rsidRPr="00137840" w:rsidRDefault="00A5315C" w:rsidP="008366D8">
            <w:pPr>
              <w:numPr>
                <w:ilvl w:val="0"/>
                <w:numId w:val="12"/>
              </w:numPr>
              <w:spacing w:line="276" w:lineRule="auto"/>
              <w:jc w:val="both"/>
              <w:rPr>
                <w:sz w:val="22"/>
                <w:szCs w:val="22"/>
              </w:rPr>
            </w:pPr>
            <w:r w:rsidRPr="00137840">
              <w:rPr>
                <w:sz w:val="22"/>
                <w:szCs w:val="22"/>
                <w:lang w:eastAsia="zh-CN"/>
              </w:rPr>
              <w:t>New</w:t>
            </w:r>
            <w:r w:rsidRPr="00137840">
              <w:rPr>
                <w:sz w:val="22"/>
                <w:szCs w:val="22"/>
              </w:rPr>
              <w:t xml:space="preserve"> York, U.S. (1990)</w:t>
            </w:r>
          </w:p>
          <w:p w14:paraId="05C52200" w14:textId="57D216A5" w:rsidR="00A26838" w:rsidRPr="008366D8" w:rsidRDefault="008C0023" w:rsidP="008366D8">
            <w:pPr>
              <w:spacing w:line="276" w:lineRule="auto"/>
              <w:jc w:val="both"/>
              <w:rPr>
                <w:sz w:val="22"/>
                <w:szCs w:val="22"/>
              </w:rPr>
            </w:pPr>
            <w:r w:rsidRPr="00137840">
              <w:rPr>
                <w:sz w:val="22"/>
                <w:szCs w:val="22"/>
              </w:rPr>
              <w:t xml:space="preserve">3.    </w:t>
            </w:r>
            <w:r w:rsidR="00A5315C" w:rsidRPr="00137840">
              <w:rPr>
                <w:sz w:val="22"/>
                <w:szCs w:val="22"/>
              </w:rPr>
              <w:t>New Jersey, U.S. (1989)</w:t>
            </w:r>
          </w:p>
        </w:tc>
      </w:tr>
      <w:tr w:rsidR="00A26838" w:rsidRPr="00137840" w14:paraId="54B34893" w14:textId="77777777" w:rsidTr="00BE60C2">
        <w:trPr>
          <w:trHeight w:val="449"/>
        </w:trPr>
        <w:tc>
          <w:tcPr>
            <w:tcW w:w="9450" w:type="dxa"/>
            <w:gridSpan w:val="3"/>
            <w:shd w:val="clear" w:color="auto" w:fill="F2F2F2"/>
            <w:vAlign w:val="center"/>
          </w:tcPr>
          <w:p w14:paraId="42BC8125" w14:textId="77777777" w:rsidR="00A26838" w:rsidRPr="00137840" w:rsidRDefault="00A26838" w:rsidP="00A26838">
            <w:pPr>
              <w:spacing w:line="276" w:lineRule="auto"/>
              <w:jc w:val="both"/>
              <w:rPr>
                <w:b/>
                <w:sz w:val="22"/>
                <w:szCs w:val="22"/>
              </w:rPr>
            </w:pPr>
            <w:r w:rsidRPr="00137840">
              <w:rPr>
                <w:b/>
                <w:sz w:val="22"/>
                <w:szCs w:val="22"/>
              </w:rPr>
              <w:t xml:space="preserve">Positions </w:t>
            </w:r>
          </w:p>
        </w:tc>
      </w:tr>
      <w:tr w:rsidR="00A26838" w:rsidRPr="00137840" w14:paraId="6684F866" w14:textId="77777777" w:rsidTr="00BE60C2">
        <w:trPr>
          <w:trHeight w:val="603"/>
        </w:trPr>
        <w:tc>
          <w:tcPr>
            <w:tcW w:w="9450" w:type="dxa"/>
            <w:gridSpan w:val="3"/>
            <w:shd w:val="clear" w:color="auto" w:fill="auto"/>
          </w:tcPr>
          <w:p w14:paraId="7CF40AF6" w14:textId="77777777" w:rsidR="00A26838" w:rsidRPr="00137840" w:rsidRDefault="00A26838" w:rsidP="00967B72">
            <w:pPr>
              <w:numPr>
                <w:ilvl w:val="0"/>
                <w:numId w:val="9"/>
              </w:numPr>
              <w:spacing w:line="276" w:lineRule="auto"/>
              <w:jc w:val="both"/>
              <w:rPr>
                <w:rStyle w:val="Hyperlink"/>
                <w:b/>
                <w:bCs/>
                <w:color w:val="auto"/>
                <w:sz w:val="22"/>
                <w:szCs w:val="22"/>
                <w:u w:val="none"/>
              </w:rPr>
            </w:pPr>
            <w:r w:rsidRPr="00137840">
              <w:rPr>
                <w:b/>
                <w:bCs/>
                <w:sz w:val="22"/>
                <w:szCs w:val="22"/>
              </w:rPr>
              <w:t>Current:</w:t>
            </w:r>
          </w:p>
          <w:p w14:paraId="0904A8F3" w14:textId="70D87CB1" w:rsidR="00193659" w:rsidRPr="00137840" w:rsidRDefault="00A26838" w:rsidP="00A5315C">
            <w:pPr>
              <w:numPr>
                <w:ilvl w:val="0"/>
                <w:numId w:val="2"/>
              </w:numPr>
              <w:spacing w:line="276" w:lineRule="auto"/>
              <w:jc w:val="both"/>
              <w:rPr>
                <w:rStyle w:val="Hyperlink"/>
                <w:bCs/>
                <w:color w:val="000000"/>
                <w:sz w:val="22"/>
                <w:szCs w:val="22"/>
                <w:u w:val="none"/>
              </w:rPr>
            </w:pPr>
            <w:r w:rsidRPr="00137840">
              <w:rPr>
                <w:b/>
                <w:bCs/>
                <w:sz w:val="22"/>
                <w:szCs w:val="22"/>
              </w:rPr>
              <w:t>2015</w:t>
            </w:r>
            <w:r w:rsidR="00A5315C" w:rsidRPr="00137840">
              <w:rPr>
                <w:b/>
                <w:bCs/>
                <w:sz w:val="22"/>
                <w:szCs w:val="22"/>
              </w:rPr>
              <w:t xml:space="preserve"> </w:t>
            </w:r>
            <w:r w:rsidRPr="00137840">
              <w:rPr>
                <w:b/>
                <w:bCs/>
                <w:sz w:val="22"/>
                <w:szCs w:val="22"/>
              </w:rPr>
              <w:t>-</w:t>
            </w:r>
            <w:r w:rsidR="005D2C76" w:rsidRPr="00137840">
              <w:rPr>
                <w:b/>
                <w:bCs/>
                <w:sz w:val="22"/>
                <w:szCs w:val="22"/>
              </w:rPr>
              <w:t xml:space="preserve"> </w:t>
            </w:r>
            <w:r w:rsidR="00A5315C" w:rsidRPr="00137840">
              <w:rPr>
                <w:sz w:val="22"/>
                <w:szCs w:val="22"/>
              </w:rPr>
              <w:t>present</w:t>
            </w:r>
            <w:r w:rsidRPr="00137840">
              <w:rPr>
                <w:sz w:val="22"/>
                <w:szCs w:val="22"/>
              </w:rPr>
              <w:t>:</w:t>
            </w:r>
            <w:r w:rsidRPr="00137840">
              <w:rPr>
                <w:b/>
                <w:bCs/>
                <w:sz w:val="22"/>
                <w:szCs w:val="22"/>
              </w:rPr>
              <w:t xml:space="preserve"> </w:t>
            </w:r>
            <w:r w:rsidR="00A5315C" w:rsidRPr="008366D8">
              <w:rPr>
                <w:sz w:val="22"/>
                <w:szCs w:val="22"/>
              </w:rPr>
              <w:t>Founder,</w:t>
            </w:r>
            <w:r w:rsidR="00A5315C" w:rsidRPr="00137840">
              <w:rPr>
                <w:b/>
                <w:bCs/>
                <w:sz w:val="22"/>
                <w:szCs w:val="22"/>
              </w:rPr>
              <w:t xml:space="preserve"> </w:t>
            </w:r>
            <w:r w:rsidRPr="00137840">
              <w:rPr>
                <w:b/>
                <w:bCs/>
                <w:sz w:val="22"/>
                <w:szCs w:val="22"/>
              </w:rPr>
              <w:t>Nahmias+Partners</w:t>
            </w:r>
            <w:r w:rsidR="00A5315C" w:rsidRPr="00137840">
              <w:rPr>
                <w:bCs/>
                <w:sz w:val="22"/>
                <w:szCs w:val="22"/>
              </w:rPr>
              <w:t xml:space="preserve">, Madrid, Spain – </w:t>
            </w:r>
            <w:r w:rsidRPr="00137840">
              <w:rPr>
                <w:sz w:val="22"/>
                <w:szCs w:val="22"/>
              </w:rPr>
              <w:t xml:space="preserve">Private practice offering legal services relating to the resolution of international commercial disputes acting as arbitrator, mediator, </w:t>
            </w:r>
            <w:r w:rsidR="004D641F" w:rsidRPr="00137840">
              <w:rPr>
                <w:sz w:val="22"/>
                <w:szCs w:val="22"/>
              </w:rPr>
              <w:t>counsel,</w:t>
            </w:r>
            <w:r w:rsidRPr="00137840">
              <w:rPr>
                <w:sz w:val="22"/>
                <w:szCs w:val="22"/>
              </w:rPr>
              <w:t xml:space="preserve"> or expert. </w:t>
            </w:r>
          </w:p>
          <w:p w14:paraId="1FD8181E" w14:textId="77777777" w:rsidR="00967B72" w:rsidRPr="00137840" w:rsidRDefault="00967B72" w:rsidP="00193659">
            <w:pPr>
              <w:spacing w:line="276" w:lineRule="auto"/>
              <w:ind w:left="360"/>
              <w:jc w:val="both"/>
              <w:rPr>
                <w:rStyle w:val="Hyperlink"/>
                <w:color w:val="auto"/>
                <w:sz w:val="22"/>
                <w:szCs w:val="22"/>
                <w:u w:val="none"/>
              </w:rPr>
            </w:pPr>
          </w:p>
          <w:p w14:paraId="4021EE58" w14:textId="0164251C" w:rsidR="00A26838" w:rsidRPr="00137840" w:rsidRDefault="00A26838" w:rsidP="00A5315C">
            <w:pPr>
              <w:numPr>
                <w:ilvl w:val="0"/>
                <w:numId w:val="2"/>
              </w:numPr>
              <w:spacing w:line="276" w:lineRule="auto"/>
              <w:jc w:val="both"/>
              <w:rPr>
                <w:rStyle w:val="Hyperlink"/>
                <w:color w:val="auto"/>
                <w:sz w:val="22"/>
                <w:szCs w:val="22"/>
                <w:u w:val="none"/>
              </w:rPr>
            </w:pPr>
            <w:r w:rsidRPr="00137840">
              <w:rPr>
                <w:b/>
                <w:bCs/>
                <w:sz w:val="22"/>
                <w:szCs w:val="22"/>
              </w:rPr>
              <w:t>2016</w:t>
            </w:r>
            <w:r w:rsidR="00A5315C" w:rsidRPr="00137840">
              <w:rPr>
                <w:b/>
                <w:bCs/>
                <w:sz w:val="22"/>
                <w:szCs w:val="22"/>
              </w:rPr>
              <w:t xml:space="preserve"> </w:t>
            </w:r>
            <w:r w:rsidRPr="00137840">
              <w:rPr>
                <w:b/>
                <w:bCs/>
                <w:sz w:val="22"/>
                <w:szCs w:val="22"/>
              </w:rPr>
              <w:t>-</w:t>
            </w:r>
            <w:r w:rsidRPr="00137840">
              <w:rPr>
                <w:rStyle w:val="Hyperlink"/>
                <w:color w:val="auto"/>
                <w:sz w:val="22"/>
                <w:szCs w:val="22"/>
                <w:u w:val="none"/>
              </w:rPr>
              <w:t xml:space="preserve"> </w:t>
            </w:r>
            <w:r w:rsidR="00A5315C" w:rsidRPr="00137840">
              <w:rPr>
                <w:rStyle w:val="Hyperlink"/>
                <w:color w:val="auto"/>
                <w:sz w:val="22"/>
                <w:szCs w:val="22"/>
                <w:u w:val="none"/>
              </w:rPr>
              <w:t>present</w:t>
            </w:r>
            <w:r w:rsidRPr="00137840">
              <w:rPr>
                <w:rStyle w:val="Hyperlink"/>
                <w:color w:val="auto"/>
                <w:sz w:val="22"/>
                <w:szCs w:val="22"/>
                <w:u w:val="none"/>
              </w:rPr>
              <w:t xml:space="preserve">: Adjunct Professor, </w:t>
            </w:r>
            <w:r w:rsidRPr="00137840">
              <w:rPr>
                <w:rStyle w:val="Hyperlink"/>
                <w:b/>
                <w:bCs/>
                <w:color w:val="auto"/>
                <w:sz w:val="22"/>
                <w:szCs w:val="22"/>
                <w:u w:val="none"/>
              </w:rPr>
              <w:t>EAE Business School</w:t>
            </w:r>
            <w:r w:rsidR="00A5315C" w:rsidRPr="008366D8">
              <w:rPr>
                <w:rStyle w:val="Hyperlink"/>
                <w:color w:val="auto"/>
                <w:sz w:val="22"/>
                <w:szCs w:val="22"/>
                <w:u w:val="none"/>
              </w:rPr>
              <w:t>,</w:t>
            </w:r>
            <w:r w:rsidR="00A5315C" w:rsidRPr="00137840">
              <w:rPr>
                <w:rStyle w:val="Hyperlink"/>
                <w:b/>
                <w:bCs/>
                <w:color w:val="auto"/>
                <w:sz w:val="22"/>
                <w:szCs w:val="22"/>
                <w:u w:val="none"/>
              </w:rPr>
              <w:t xml:space="preserve"> </w:t>
            </w:r>
            <w:r w:rsidRPr="00137840">
              <w:rPr>
                <w:rStyle w:val="Hyperlink"/>
                <w:color w:val="auto"/>
                <w:sz w:val="22"/>
                <w:szCs w:val="22"/>
                <w:u w:val="none"/>
              </w:rPr>
              <w:t>Madrid, Spain</w:t>
            </w:r>
            <w:r w:rsidR="00A5315C" w:rsidRPr="00137840">
              <w:rPr>
                <w:rStyle w:val="Hyperlink"/>
                <w:color w:val="auto"/>
                <w:sz w:val="22"/>
                <w:szCs w:val="22"/>
                <w:u w:val="none"/>
              </w:rPr>
              <w:t xml:space="preserve"> –</w:t>
            </w:r>
            <w:r w:rsidR="005D2C76" w:rsidRPr="00137840">
              <w:rPr>
                <w:rStyle w:val="Hyperlink"/>
                <w:color w:val="auto"/>
                <w:sz w:val="22"/>
                <w:szCs w:val="22"/>
                <w:u w:val="none"/>
              </w:rPr>
              <w:t xml:space="preserve"> </w:t>
            </w:r>
            <w:r w:rsidRPr="00137840">
              <w:rPr>
                <w:rStyle w:val="Hyperlink"/>
                <w:i/>
                <w:iCs/>
                <w:color w:val="auto"/>
                <w:sz w:val="22"/>
                <w:szCs w:val="22"/>
                <w:u w:val="none"/>
              </w:rPr>
              <w:t>International Economics La</w:t>
            </w:r>
            <w:r w:rsidR="005D2C76" w:rsidRPr="00137840">
              <w:rPr>
                <w:rStyle w:val="Hyperlink"/>
                <w:i/>
                <w:iCs/>
                <w:color w:val="auto"/>
                <w:sz w:val="22"/>
                <w:szCs w:val="22"/>
                <w:u w:val="none"/>
              </w:rPr>
              <w:t>w; International Trade and Contract Law; Public International and EU Law</w:t>
            </w:r>
            <w:r w:rsidR="00651CA8">
              <w:rPr>
                <w:rStyle w:val="Hyperlink"/>
                <w:i/>
                <w:iCs/>
                <w:color w:val="auto"/>
                <w:sz w:val="22"/>
                <w:szCs w:val="22"/>
                <w:u w:val="none"/>
              </w:rPr>
              <w:t>.</w:t>
            </w:r>
            <w:r w:rsidR="005D2C76" w:rsidRPr="00137840">
              <w:rPr>
                <w:rStyle w:val="Hyperlink"/>
                <w:i/>
                <w:iCs/>
                <w:color w:val="auto"/>
                <w:sz w:val="22"/>
                <w:szCs w:val="22"/>
                <w:u w:val="none"/>
              </w:rPr>
              <w:t xml:space="preserve"> </w:t>
            </w:r>
          </w:p>
          <w:p w14:paraId="70C18FB1" w14:textId="77777777" w:rsidR="00967B72" w:rsidRPr="00137840" w:rsidRDefault="00967B72" w:rsidP="00967B72">
            <w:pPr>
              <w:spacing w:line="276" w:lineRule="auto"/>
              <w:jc w:val="both"/>
              <w:rPr>
                <w:rStyle w:val="Hyperlink"/>
                <w:color w:val="auto"/>
                <w:sz w:val="22"/>
                <w:szCs w:val="22"/>
                <w:u w:val="none"/>
              </w:rPr>
            </w:pPr>
          </w:p>
          <w:p w14:paraId="4CB25E74" w14:textId="6015C77B" w:rsidR="00A26838" w:rsidRPr="00137840" w:rsidRDefault="00A26838" w:rsidP="00A5315C">
            <w:pPr>
              <w:numPr>
                <w:ilvl w:val="0"/>
                <w:numId w:val="2"/>
              </w:numPr>
              <w:spacing w:line="276" w:lineRule="auto"/>
              <w:jc w:val="both"/>
              <w:rPr>
                <w:rStyle w:val="Hyperlink"/>
                <w:color w:val="auto"/>
                <w:sz w:val="22"/>
                <w:szCs w:val="22"/>
                <w:u w:val="none"/>
              </w:rPr>
            </w:pPr>
            <w:r w:rsidRPr="00137840">
              <w:rPr>
                <w:b/>
                <w:bCs/>
                <w:sz w:val="22"/>
                <w:szCs w:val="22"/>
              </w:rPr>
              <w:t>2019</w:t>
            </w:r>
            <w:r w:rsidR="00A5315C" w:rsidRPr="00137840">
              <w:rPr>
                <w:b/>
                <w:bCs/>
                <w:sz w:val="22"/>
                <w:szCs w:val="22"/>
              </w:rPr>
              <w:t xml:space="preserve"> </w:t>
            </w:r>
            <w:r w:rsidRPr="00137840">
              <w:rPr>
                <w:b/>
                <w:bCs/>
                <w:sz w:val="22"/>
                <w:szCs w:val="22"/>
              </w:rPr>
              <w:t>-</w:t>
            </w:r>
            <w:r w:rsidRPr="00137840">
              <w:rPr>
                <w:rStyle w:val="Hyperlink"/>
                <w:color w:val="auto"/>
                <w:sz w:val="22"/>
                <w:szCs w:val="22"/>
                <w:u w:val="none"/>
              </w:rPr>
              <w:t xml:space="preserve"> </w:t>
            </w:r>
            <w:r w:rsidR="00A5315C" w:rsidRPr="00137840">
              <w:rPr>
                <w:rStyle w:val="Hyperlink"/>
                <w:color w:val="auto"/>
                <w:sz w:val="22"/>
                <w:szCs w:val="22"/>
                <w:u w:val="none"/>
              </w:rPr>
              <w:t>present</w:t>
            </w:r>
            <w:r w:rsidRPr="00137840">
              <w:rPr>
                <w:rStyle w:val="Hyperlink"/>
                <w:color w:val="auto"/>
                <w:sz w:val="22"/>
                <w:szCs w:val="22"/>
                <w:u w:val="none"/>
              </w:rPr>
              <w:t xml:space="preserve">: Adjunct Professor, </w:t>
            </w:r>
            <w:r w:rsidRPr="00137840">
              <w:rPr>
                <w:rStyle w:val="Hyperlink"/>
                <w:b/>
                <w:bCs/>
                <w:color w:val="auto"/>
                <w:sz w:val="22"/>
                <w:szCs w:val="22"/>
                <w:u w:val="none"/>
              </w:rPr>
              <w:t xml:space="preserve">Saint Louis </w:t>
            </w:r>
            <w:r w:rsidR="004D641F" w:rsidRPr="00137840">
              <w:rPr>
                <w:rStyle w:val="Hyperlink"/>
                <w:b/>
                <w:bCs/>
                <w:color w:val="auto"/>
                <w:sz w:val="22"/>
                <w:szCs w:val="22"/>
                <w:u w:val="none"/>
              </w:rPr>
              <w:t xml:space="preserve">University, </w:t>
            </w:r>
            <w:r w:rsidR="004D641F" w:rsidRPr="00137840">
              <w:rPr>
                <w:rStyle w:val="Hyperlink"/>
                <w:color w:val="auto"/>
                <w:sz w:val="22"/>
                <w:szCs w:val="22"/>
                <w:u w:val="none"/>
              </w:rPr>
              <w:t>Madrid</w:t>
            </w:r>
            <w:r w:rsidRPr="00137840">
              <w:rPr>
                <w:rStyle w:val="Hyperlink"/>
                <w:color w:val="auto"/>
                <w:sz w:val="22"/>
                <w:szCs w:val="22"/>
                <w:u w:val="none"/>
              </w:rPr>
              <w:t>. Spain</w:t>
            </w:r>
            <w:r w:rsidR="00A5315C" w:rsidRPr="00137840">
              <w:rPr>
                <w:rStyle w:val="Hyperlink"/>
                <w:color w:val="auto"/>
                <w:sz w:val="22"/>
                <w:szCs w:val="22"/>
                <w:u w:val="none"/>
              </w:rPr>
              <w:t xml:space="preserve"> – </w:t>
            </w:r>
            <w:r w:rsidRPr="00137840">
              <w:rPr>
                <w:rStyle w:val="Hyperlink"/>
                <w:i/>
                <w:iCs/>
                <w:color w:val="auto"/>
                <w:sz w:val="22"/>
                <w:szCs w:val="22"/>
                <w:u w:val="none"/>
              </w:rPr>
              <w:t xml:space="preserve">Legal Environment of </w:t>
            </w:r>
            <w:r w:rsidR="008247D6" w:rsidRPr="00137840">
              <w:rPr>
                <w:rStyle w:val="Hyperlink"/>
                <w:i/>
                <w:iCs/>
                <w:color w:val="auto"/>
                <w:sz w:val="22"/>
                <w:szCs w:val="22"/>
                <w:u w:val="none"/>
              </w:rPr>
              <w:t>B</w:t>
            </w:r>
            <w:r w:rsidRPr="00137840">
              <w:rPr>
                <w:rStyle w:val="Hyperlink"/>
                <w:i/>
                <w:iCs/>
                <w:color w:val="auto"/>
                <w:sz w:val="22"/>
                <w:szCs w:val="22"/>
                <w:u w:val="none"/>
              </w:rPr>
              <w:t>usiness and Online Commerce</w:t>
            </w:r>
            <w:r w:rsidR="00651CA8">
              <w:rPr>
                <w:rStyle w:val="Hyperlink"/>
                <w:i/>
                <w:iCs/>
                <w:color w:val="auto"/>
                <w:sz w:val="22"/>
                <w:szCs w:val="22"/>
                <w:u w:val="none"/>
              </w:rPr>
              <w:t>.</w:t>
            </w:r>
            <w:r w:rsidRPr="00137840">
              <w:rPr>
                <w:rStyle w:val="Hyperlink"/>
                <w:color w:val="auto"/>
                <w:sz w:val="22"/>
                <w:szCs w:val="22"/>
                <w:u w:val="none"/>
              </w:rPr>
              <w:t xml:space="preserve"> </w:t>
            </w:r>
          </w:p>
          <w:p w14:paraId="71DE6A5E" w14:textId="77777777" w:rsidR="00A26838" w:rsidRPr="00137840" w:rsidRDefault="00A26838" w:rsidP="00967B72">
            <w:pPr>
              <w:spacing w:line="276" w:lineRule="auto"/>
              <w:jc w:val="both"/>
              <w:rPr>
                <w:sz w:val="22"/>
                <w:szCs w:val="22"/>
              </w:rPr>
            </w:pPr>
          </w:p>
          <w:p w14:paraId="7CA39D5E" w14:textId="77777777" w:rsidR="00A26838" w:rsidRPr="00137840" w:rsidRDefault="00A26838" w:rsidP="00967B72">
            <w:pPr>
              <w:numPr>
                <w:ilvl w:val="0"/>
                <w:numId w:val="9"/>
              </w:numPr>
              <w:spacing w:line="276" w:lineRule="auto"/>
              <w:jc w:val="both"/>
              <w:rPr>
                <w:b/>
                <w:bCs/>
                <w:sz w:val="22"/>
                <w:szCs w:val="22"/>
              </w:rPr>
            </w:pPr>
            <w:r w:rsidRPr="00137840">
              <w:rPr>
                <w:b/>
                <w:bCs/>
                <w:sz w:val="22"/>
                <w:szCs w:val="22"/>
              </w:rPr>
              <w:t>Previous:</w:t>
            </w:r>
          </w:p>
          <w:p w14:paraId="2BD91DDB" w14:textId="3F481E04" w:rsidR="00967B72" w:rsidRPr="00137840" w:rsidRDefault="00A26838" w:rsidP="00A5315C">
            <w:pPr>
              <w:numPr>
                <w:ilvl w:val="0"/>
                <w:numId w:val="10"/>
              </w:numPr>
              <w:spacing w:line="276" w:lineRule="auto"/>
              <w:jc w:val="both"/>
              <w:rPr>
                <w:rStyle w:val="orgsummary"/>
                <w:bCs/>
                <w:i/>
                <w:iCs/>
                <w:sz w:val="22"/>
                <w:szCs w:val="22"/>
              </w:rPr>
            </w:pPr>
            <w:r w:rsidRPr="00137840">
              <w:rPr>
                <w:rStyle w:val="orgsummary"/>
                <w:b/>
                <w:sz w:val="22"/>
                <w:szCs w:val="22"/>
              </w:rPr>
              <w:t>2019</w:t>
            </w:r>
            <w:r w:rsidR="00A5315C" w:rsidRPr="008366D8">
              <w:rPr>
                <w:rStyle w:val="orgsummary"/>
                <w:bCs/>
                <w:sz w:val="22"/>
                <w:szCs w:val="22"/>
              </w:rPr>
              <w:t>:</w:t>
            </w:r>
            <w:r w:rsidRPr="00137840">
              <w:rPr>
                <w:rStyle w:val="orgsummary"/>
                <w:b/>
                <w:sz w:val="22"/>
                <w:szCs w:val="22"/>
              </w:rPr>
              <w:t xml:space="preserve"> </w:t>
            </w:r>
            <w:r w:rsidRPr="008366D8">
              <w:rPr>
                <w:rStyle w:val="orgsummary"/>
                <w:bCs/>
                <w:sz w:val="22"/>
                <w:szCs w:val="22"/>
              </w:rPr>
              <w:t>Adjunct Professor</w:t>
            </w:r>
            <w:r w:rsidR="00A5315C" w:rsidRPr="00137840">
              <w:rPr>
                <w:rStyle w:val="orgsummary"/>
                <w:bCs/>
                <w:sz w:val="22"/>
                <w:szCs w:val="22"/>
              </w:rPr>
              <w:t>,</w:t>
            </w:r>
            <w:r w:rsidRPr="00137840">
              <w:rPr>
                <w:rStyle w:val="orgsummary"/>
                <w:b/>
                <w:sz w:val="22"/>
                <w:szCs w:val="22"/>
              </w:rPr>
              <w:t xml:space="preserve"> Instituto de Empresa</w:t>
            </w:r>
            <w:r w:rsidR="00A5315C" w:rsidRPr="00137840">
              <w:rPr>
                <w:rStyle w:val="orgsummary"/>
                <w:b/>
                <w:sz w:val="22"/>
                <w:szCs w:val="22"/>
              </w:rPr>
              <w:t xml:space="preserve">, </w:t>
            </w:r>
            <w:r w:rsidRPr="00137840">
              <w:rPr>
                <w:rStyle w:val="orgsummary"/>
                <w:bCs/>
                <w:sz w:val="22"/>
                <w:szCs w:val="22"/>
              </w:rPr>
              <w:t>Madrid, Spain</w:t>
            </w:r>
            <w:r w:rsidR="00A5315C" w:rsidRPr="00137840">
              <w:rPr>
                <w:rStyle w:val="orgsummary"/>
                <w:bCs/>
                <w:sz w:val="22"/>
                <w:szCs w:val="22"/>
              </w:rPr>
              <w:t xml:space="preserve"> –</w:t>
            </w:r>
            <w:r w:rsidRPr="00137840">
              <w:rPr>
                <w:rStyle w:val="orgsummary"/>
                <w:bCs/>
                <w:sz w:val="22"/>
                <w:szCs w:val="22"/>
              </w:rPr>
              <w:t xml:space="preserve"> </w:t>
            </w:r>
            <w:r w:rsidRPr="00137840">
              <w:rPr>
                <w:rStyle w:val="orgsummary"/>
                <w:bCs/>
                <w:i/>
                <w:iCs/>
                <w:sz w:val="22"/>
                <w:szCs w:val="22"/>
              </w:rPr>
              <w:t xml:space="preserve">Law Unplugged- International </w:t>
            </w:r>
            <w:r w:rsidR="00605B73" w:rsidRPr="00137840">
              <w:rPr>
                <w:rStyle w:val="orgsummary"/>
                <w:bCs/>
                <w:i/>
                <w:iCs/>
                <w:sz w:val="22"/>
                <w:szCs w:val="22"/>
              </w:rPr>
              <w:t xml:space="preserve">Commercial </w:t>
            </w:r>
            <w:r w:rsidRPr="00137840">
              <w:rPr>
                <w:rStyle w:val="orgsummary"/>
                <w:bCs/>
                <w:i/>
                <w:iCs/>
                <w:sz w:val="22"/>
                <w:szCs w:val="22"/>
              </w:rPr>
              <w:t>Arbitration Advocacy</w:t>
            </w:r>
            <w:r w:rsidR="00651CA8">
              <w:rPr>
                <w:rStyle w:val="orgsummary"/>
                <w:bCs/>
                <w:i/>
                <w:iCs/>
                <w:sz w:val="22"/>
                <w:szCs w:val="22"/>
              </w:rPr>
              <w:t>.</w:t>
            </w:r>
          </w:p>
          <w:p w14:paraId="435B1407" w14:textId="77777777" w:rsidR="00967B72" w:rsidRPr="00137840" w:rsidRDefault="00967B72" w:rsidP="00967B72">
            <w:pPr>
              <w:spacing w:line="276" w:lineRule="auto"/>
              <w:jc w:val="both"/>
              <w:rPr>
                <w:rStyle w:val="orgsummary"/>
                <w:bCs/>
                <w:i/>
                <w:iCs/>
                <w:sz w:val="22"/>
                <w:szCs w:val="22"/>
              </w:rPr>
            </w:pPr>
          </w:p>
          <w:p w14:paraId="181C3699" w14:textId="4CB45279" w:rsidR="00A26838" w:rsidRPr="00137840" w:rsidRDefault="00A26838" w:rsidP="00967B72">
            <w:pPr>
              <w:numPr>
                <w:ilvl w:val="0"/>
                <w:numId w:val="10"/>
              </w:numPr>
              <w:spacing w:line="276" w:lineRule="auto"/>
              <w:jc w:val="both"/>
              <w:rPr>
                <w:b/>
                <w:sz w:val="22"/>
                <w:szCs w:val="22"/>
              </w:rPr>
            </w:pPr>
            <w:r w:rsidRPr="00137840">
              <w:rPr>
                <w:rStyle w:val="orgsummary"/>
                <w:b/>
                <w:sz w:val="22"/>
                <w:szCs w:val="22"/>
              </w:rPr>
              <w:t>British American Tobacco</w:t>
            </w:r>
            <w:r w:rsidRPr="00137840">
              <w:rPr>
                <w:rStyle w:val="Strong"/>
                <w:b w:val="0"/>
                <w:sz w:val="22"/>
                <w:szCs w:val="22"/>
              </w:rPr>
              <w:t xml:space="preserve"> </w:t>
            </w:r>
          </w:p>
          <w:p w14:paraId="0D674E32" w14:textId="32CA778C" w:rsidR="00A26838" w:rsidRPr="00137840" w:rsidRDefault="00A26838" w:rsidP="00A5315C">
            <w:pPr>
              <w:spacing w:after="300" w:line="276" w:lineRule="auto"/>
              <w:ind w:left="407"/>
              <w:contextualSpacing/>
              <w:jc w:val="both"/>
              <w:rPr>
                <w:bCs/>
                <w:sz w:val="22"/>
                <w:szCs w:val="22"/>
                <w:lang w:eastAsia="zh-TW"/>
              </w:rPr>
            </w:pPr>
            <w:r w:rsidRPr="00137840">
              <w:rPr>
                <w:b/>
                <w:sz w:val="22"/>
                <w:szCs w:val="22"/>
                <w:lang w:eastAsia="zh-TW"/>
              </w:rPr>
              <w:t>2011</w:t>
            </w:r>
            <w:r w:rsidR="00A5315C" w:rsidRPr="00137840">
              <w:rPr>
                <w:b/>
                <w:sz w:val="22"/>
                <w:szCs w:val="22"/>
                <w:lang w:eastAsia="zh-TW"/>
              </w:rPr>
              <w:t xml:space="preserve"> </w:t>
            </w:r>
            <w:r w:rsidRPr="00137840">
              <w:rPr>
                <w:b/>
                <w:sz w:val="22"/>
                <w:szCs w:val="22"/>
                <w:lang w:eastAsia="zh-TW"/>
              </w:rPr>
              <w:t xml:space="preserve">- 2014: </w:t>
            </w:r>
            <w:r w:rsidRPr="008366D8">
              <w:rPr>
                <w:bCs/>
                <w:sz w:val="22"/>
                <w:szCs w:val="22"/>
                <w:lang w:eastAsia="zh-TW"/>
              </w:rPr>
              <w:t>Head of Legal</w:t>
            </w:r>
            <w:r w:rsidR="0042395D" w:rsidRPr="00137840">
              <w:rPr>
                <w:b/>
                <w:sz w:val="22"/>
                <w:szCs w:val="22"/>
                <w:lang w:eastAsia="zh-TW"/>
              </w:rPr>
              <w:t xml:space="preserve"> (</w:t>
            </w:r>
            <w:r w:rsidRPr="008366D8">
              <w:rPr>
                <w:bCs/>
                <w:sz w:val="22"/>
                <w:szCs w:val="22"/>
                <w:lang w:eastAsia="zh-TW"/>
              </w:rPr>
              <w:t>Regulatory Futures Department</w:t>
            </w:r>
            <w:r w:rsidR="004D641F" w:rsidRPr="00137840">
              <w:rPr>
                <w:bCs/>
                <w:sz w:val="22"/>
                <w:szCs w:val="22"/>
                <w:lang w:eastAsia="zh-TW"/>
              </w:rPr>
              <w:t>)</w:t>
            </w:r>
            <w:r w:rsidR="004D641F" w:rsidRPr="00137840">
              <w:rPr>
                <w:b/>
                <w:sz w:val="22"/>
                <w:szCs w:val="22"/>
                <w:lang w:eastAsia="zh-TW"/>
              </w:rPr>
              <w:t xml:space="preserve">, </w:t>
            </w:r>
            <w:r w:rsidR="004D641F" w:rsidRPr="00137840">
              <w:rPr>
                <w:bCs/>
                <w:sz w:val="22"/>
                <w:szCs w:val="22"/>
                <w:lang w:eastAsia="zh-TW"/>
              </w:rPr>
              <w:t>London</w:t>
            </w:r>
            <w:r w:rsidRPr="00137840">
              <w:rPr>
                <w:bCs/>
                <w:sz w:val="22"/>
                <w:szCs w:val="22"/>
                <w:lang w:eastAsia="zh-TW"/>
              </w:rPr>
              <w:t>, UK</w:t>
            </w:r>
            <w:r w:rsidR="00A5315C" w:rsidRPr="00137840">
              <w:rPr>
                <w:bCs/>
                <w:sz w:val="22"/>
                <w:szCs w:val="22"/>
                <w:lang w:eastAsia="zh-TW"/>
              </w:rPr>
              <w:t xml:space="preserve"> –</w:t>
            </w:r>
            <w:r w:rsidR="00A5315C" w:rsidRPr="00137840">
              <w:rPr>
                <w:sz w:val="22"/>
                <w:szCs w:val="22"/>
              </w:rPr>
              <w:t>Head of function</w:t>
            </w:r>
            <w:r w:rsidRPr="00137840">
              <w:rPr>
                <w:sz w:val="22"/>
                <w:szCs w:val="22"/>
              </w:rPr>
              <w:t xml:space="preserve"> </w:t>
            </w:r>
            <w:r w:rsidR="00C43C0D">
              <w:rPr>
                <w:sz w:val="22"/>
                <w:szCs w:val="22"/>
              </w:rPr>
              <w:t xml:space="preserve">and Global Leadership team member </w:t>
            </w:r>
            <w:r w:rsidR="004D641F">
              <w:rPr>
                <w:sz w:val="22"/>
                <w:szCs w:val="22"/>
              </w:rPr>
              <w:t>leading a</w:t>
            </w:r>
            <w:r w:rsidRPr="00137840">
              <w:rPr>
                <w:sz w:val="22"/>
                <w:szCs w:val="22"/>
              </w:rPr>
              <w:t xml:space="preserve"> specialist legal team providing counsel, </w:t>
            </w:r>
            <w:r w:rsidR="00A50F24" w:rsidRPr="00137840">
              <w:rPr>
                <w:sz w:val="22"/>
                <w:szCs w:val="22"/>
              </w:rPr>
              <w:t>advocacy,</w:t>
            </w:r>
            <w:r w:rsidR="00904279">
              <w:rPr>
                <w:sz w:val="22"/>
                <w:szCs w:val="22"/>
              </w:rPr>
              <w:t xml:space="preserve"> </w:t>
            </w:r>
            <w:r w:rsidRPr="00137840">
              <w:rPr>
                <w:sz w:val="22"/>
                <w:szCs w:val="22"/>
              </w:rPr>
              <w:t xml:space="preserve">and engagement strategies on critical regulatory trends </w:t>
            </w:r>
            <w:r w:rsidR="00AE5CC8">
              <w:rPr>
                <w:sz w:val="22"/>
                <w:szCs w:val="22"/>
              </w:rPr>
              <w:t xml:space="preserve">impacting </w:t>
            </w:r>
            <w:r w:rsidRPr="00137840">
              <w:rPr>
                <w:sz w:val="22"/>
                <w:szCs w:val="22"/>
              </w:rPr>
              <w:t xml:space="preserve">the </w:t>
            </w:r>
            <w:r w:rsidR="00A50F24">
              <w:rPr>
                <w:sz w:val="22"/>
                <w:szCs w:val="22"/>
              </w:rPr>
              <w:t>business</w:t>
            </w:r>
            <w:r w:rsidR="00F72B9D" w:rsidRPr="00137840">
              <w:rPr>
                <w:bCs/>
                <w:sz w:val="22"/>
                <w:szCs w:val="22"/>
                <w:lang w:eastAsia="zh-TW"/>
              </w:rPr>
              <w:t>.</w:t>
            </w:r>
          </w:p>
          <w:p w14:paraId="4F2F99FF" w14:textId="77777777" w:rsidR="00F72B9D" w:rsidRPr="00137840" w:rsidRDefault="00F72B9D" w:rsidP="00967B72">
            <w:pPr>
              <w:spacing w:after="300" w:line="276" w:lineRule="auto"/>
              <w:ind w:left="407"/>
              <w:contextualSpacing/>
              <w:jc w:val="both"/>
              <w:rPr>
                <w:bCs/>
                <w:sz w:val="22"/>
                <w:szCs w:val="22"/>
                <w:lang w:eastAsia="zh-TW"/>
              </w:rPr>
            </w:pPr>
          </w:p>
          <w:p w14:paraId="7033B090" w14:textId="158EB7B0" w:rsidR="00A26838" w:rsidRPr="00137840" w:rsidRDefault="00A26838" w:rsidP="00A5315C">
            <w:pPr>
              <w:spacing w:after="300" w:line="276" w:lineRule="auto"/>
              <w:ind w:left="407"/>
              <w:contextualSpacing/>
              <w:jc w:val="both"/>
              <w:rPr>
                <w:sz w:val="22"/>
                <w:szCs w:val="22"/>
                <w:lang w:eastAsia="zh-TW"/>
              </w:rPr>
            </w:pPr>
            <w:r w:rsidRPr="00137840">
              <w:rPr>
                <w:rStyle w:val="title1"/>
                <w:b/>
                <w:sz w:val="22"/>
                <w:szCs w:val="22"/>
              </w:rPr>
              <w:t>2009</w:t>
            </w:r>
            <w:r w:rsidR="00A5315C" w:rsidRPr="00137840">
              <w:rPr>
                <w:rStyle w:val="title1"/>
                <w:b/>
                <w:sz w:val="22"/>
                <w:szCs w:val="22"/>
              </w:rPr>
              <w:t xml:space="preserve"> </w:t>
            </w:r>
            <w:r w:rsidRPr="00137840">
              <w:rPr>
                <w:rStyle w:val="title1"/>
                <w:b/>
                <w:sz w:val="22"/>
                <w:szCs w:val="22"/>
              </w:rPr>
              <w:t xml:space="preserve">- 2011: </w:t>
            </w:r>
            <w:r w:rsidRPr="008366D8">
              <w:rPr>
                <w:rStyle w:val="title1"/>
                <w:bCs/>
                <w:sz w:val="22"/>
                <w:szCs w:val="22"/>
              </w:rPr>
              <w:t>General Counsel</w:t>
            </w:r>
            <w:r w:rsidR="00A5315C" w:rsidRPr="00137840">
              <w:rPr>
                <w:rStyle w:val="title1"/>
                <w:bCs/>
                <w:sz w:val="22"/>
                <w:szCs w:val="22"/>
              </w:rPr>
              <w:t xml:space="preserve"> - Middle East </w:t>
            </w:r>
            <w:r w:rsidR="004D641F" w:rsidRPr="00137840">
              <w:rPr>
                <w:rStyle w:val="title1"/>
                <w:bCs/>
                <w:sz w:val="22"/>
                <w:szCs w:val="22"/>
              </w:rPr>
              <w:t>Area, Dubai</w:t>
            </w:r>
            <w:r w:rsidRPr="00137840">
              <w:rPr>
                <w:rStyle w:val="title1"/>
                <w:bCs/>
                <w:sz w:val="22"/>
                <w:szCs w:val="22"/>
              </w:rPr>
              <w:t xml:space="preserve">, UAE </w:t>
            </w:r>
            <w:r w:rsidR="00A5315C" w:rsidRPr="00137840">
              <w:rPr>
                <w:sz w:val="22"/>
                <w:szCs w:val="22"/>
                <w:lang w:eastAsia="zh-TW"/>
              </w:rPr>
              <w:t>–</w:t>
            </w:r>
            <w:r w:rsidR="00A5315C" w:rsidRPr="008366D8">
              <w:rPr>
                <w:color w:val="000000" w:themeColor="text1"/>
                <w:sz w:val="22"/>
                <w:szCs w:val="22"/>
                <w:lang w:eastAsia="zh-TW"/>
              </w:rPr>
              <w:t>Senior exec</w:t>
            </w:r>
            <w:r w:rsidR="004C2C61" w:rsidRPr="008366D8">
              <w:rPr>
                <w:color w:val="000000" w:themeColor="text1"/>
                <w:sz w:val="22"/>
                <w:szCs w:val="22"/>
                <w:lang w:eastAsia="zh-TW"/>
              </w:rPr>
              <w:t>utive</w:t>
            </w:r>
            <w:r w:rsidR="00C43C0D">
              <w:rPr>
                <w:color w:val="000000" w:themeColor="text1"/>
                <w:sz w:val="22"/>
                <w:szCs w:val="22"/>
                <w:lang w:eastAsia="zh-TW"/>
              </w:rPr>
              <w:t xml:space="preserve"> and </w:t>
            </w:r>
            <w:r w:rsidR="00904279" w:rsidRPr="008366D8">
              <w:rPr>
                <w:color w:val="000000" w:themeColor="text1"/>
                <w:sz w:val="22"/>
                <w:szCs w:val="22"/>
                <w:shd w:val="clear" w:color="auto" w:fill="FFFFFF"/>
              </w:rPr>
              <w:t xml:space="preserve">Middle East Area business leadership team </w:t>
            </w:r>
            <w:r w:rsidR="00904279" w:rsidRPr="00904279">
              <w:rPr>
                <w:color w:val="000000" w:themeColor="text1"/>
                <w:sz w:val="22"/>
                <w:szCs w:val="22"/>
                <w:shd w:val="clear" w:color="auto" w:fill="FFFFFF"/>
              </w:rPr>
              <w:t xml:space="preserve">member </w:t>
            </w:r>
            <w:r w:rsidR="004D641F">
              <w:rPr>
                <w:color w:val="000000" w:themeColor="text1"/>
                <w:sz w:val="22"/>
                <w:szCs w:val="22"/>
                <w:shd w:val="clear" w:color="auto" w:fill="FFFFFF"/>
              </w:rPr>
              <w:t>leading the</w:t>
            </w:r>
            <w:r w:rsidRPr="00137840">
              <w:rPr>
                <w:sz w:val="22"/>
                <w:szCs w:val="22"/>
                <w:lang w:eastAsia="zh-TW"/>
              </w:rPr>
              <w:t xml:space="preserve"> legal, </w:t>
            </w:r>
            <w:r w:rsidR="00904279">
              <w:rPr>
                <w:sz w:val="22"/>
                <w:szCs w:val="22"/>
                <w:lang w:eastAsia="zh-TW"/>
              </w:rPr>
              <w:t xml:space="preserve">corporate </w:t>
            </w:r>
            <w:r w:rsidRPr="00137840">
              <w:rPr>
                <w:sz w:val="22"/>
                <w:szCs w:val="22"/>
                <w:lang w:eastAsia="zh-TW"/>
              </w:rPr>
              <w:t xml:space="preserve">security and anti-illicit trade teams. </w:t>
            </w:r>
            <w:r w:rsidR="004D641F">
              <w:rPr>
                <w:sz w:val="22"/>
                <w:szCs w:val="22"/>
                <w:lang w:eastAsia="zh-TW"/>
              </w:rPr>
              <w:t>Successfully drove</w:t>
            </w:r>
            <w:r w:rsidR="00A50F24">
              <w:rPr>
                <w:sz w:val="22"/>
                <w:szCs w:val="22"/>
                <w:lang w:eastAsia="zh-TW"/>
              </w:rPr>
              <w:t xml:space="preserve"> </w:t>
            </w:r>
            <w:r w:rsidRPr="00137840">
              <w:rPr>
                <w:sz w:val="22"/>
                <w:szCs w:val="22"/>
                <w:lang w:eastAsia="zh-TW"/>
              </w:rPr>
              <w:t xml:space="preserve">businesses risk management processes across several highly volatile markets (including Iraq, Iran, Syria, Jordan, Lebanon, Palestine, KSA, UAE, Bahrain, Kuwait, Qatar, Oman, Yemen). Successfully </w:t>
            </w:r>
            <w:r w:rsidR="004D641F">
              <w:rPr>
                <w:sz w:val="22"/>
                <w:szCs w:val="22"/>
                <w:lang w:eastAsia="zh-TW"/>
              </w:rPr>
              <w:t>defended</w:t>
            </w:r>
            <w:r w:rsidRPr="00137840">
              <w:rPr>
                <w:sz w:val="22"/>
                <w:szCs w:val="22"/>
                <w:lang w:eastAsia="zh-TW"/>
              </w:rPr>
              <w:t xml:space="preserve"> significant product liability</w:t>
            </w:r>
            <w:r w:rsidR="008247D6" w:rsidRPr="00137840">
              <w:rPr>
                <w:sz w:val="22"/>
                <w:szCs w:val="22"/>
                <w:lang w:eastAsia="zh-TW"/>
              </w:rPr>
              <w:t xml:space="preserve"> as well as</w:t>
            </w:r>
            <w:r w:rsidRPr="00137840">
              <w:rPr>
                <w:sz w:val="22"/>
                <w:szCs w:val="22"/>
                <w:lang w:eastAsia="zh-TW"/>
              </w:rPr>
              <w:t xml:space="preserve"> dealer/distributor termination litigation.</w:t>
            </w:r>
          </w:p>
          <w:p w14:paraId="0A0977DB" w14:textId="04F9515D" w:rsidR="00A26838" w:rsidRPr="008366D8" w:rsidRDefault="00A26838" w:rsidP="004C2C61">
            <w:pPr>
              <w:pStyle w:val="ListParagraph"/>
              <w:spacing w:before="100" w:beforeAutospacing="1" w:after="100" w:afterAutospacing="1" w:line="276" w:lineRule="auto"/>
              <w:ind w:left="407"/>
              <w:contextualSpacing/>
              <w:jc w:val="both"/>
              <w:rPr>
                <w:bCs/>
                <w:sz w:val="22"/>
                <w:szCs w:val="22"/>
              </w:rPr>
            </w:pPr>
            <w:r w:rsidRPr="00137840">
              <w:rPr>
                <w:rStyle w:val="title1"/>
                <w:b/>
                <w:sz w:val="22"/>
                <w:szCs w:val="22"/>
              </w:rPr>
              <w:t>2006</w:t>
            </w:r>
            <w:r w:rsidR="004C2C61" w:rsidRPr="00137840">
              <w:rPr>
                <w:rStyle w:val="title1"/>
                <w:b/>
                <w:sz w:val="22"/>
                <w:szCs w:val="22"/>
              </w:rPr>
              <w:t xml:space="preserve"> </w:t>
            </w:r>
            <w:r w:rsidRPr="00137840">
              <w:rPr>
                <w:rStyle w:val="title1"/>
                <w:b/>
                <w:sz w:val="22"/>
                <w:szCs w:val="22"/>
              </w:rPr>
              <w:t>-</w:t>
            </w:r>
            <w:r w:rsidR="004C2C61" w:rsidRPr="00137840">
              <w:rPr>
                <w:rStyle w:val="title1"/>
                <w:b/>
                <w:sz w:val="22"/>
                <w:szCs w:val="22"/>
              </w:rPr>
              <w:t xml:space="preserve"> </w:t>
            </w:r>
            <w:r w:rsidRPr="00137840">
              <w:rPr>
                <w:rStyle w:val="title1"/>
                <w:b/>
                <w:sz w:val="22"/>
                <w:szCs w:val="22"/>
              </w:rPr>
              <w:t xml:space="preserve">2009: </w:t>
            </w:r>
            <w:r w:rsidRPr="008366D8">
              <w:rPr>
                <w:rStyle w:val="title1"/>
                <w:bCs/>
                <w:sz w:val="22"/>
                <w:szCs w:val="22"/>
              </w:rPr>
              <w:t>Global Regulation Counsel</w:t>
            </w:r>
            <w:r w:rsidR="00B90582" w:rsidRPr="00137840">
              <w:rPr>
                <w:rStyle w:val="title1"/>
                <w:bCs/>
                <w:sz w:val="22"/>
                <w:szCs w:val="22"/>
              </w:rPr>
              <w:t xml:space="preserve">- </w:t>
            </w:r>
            <w:r w:rsidR="00193659" w:rsidRPr="00137840">
              <w:rPr>
                <w:rStyle w:val="title1"/>
                <w:bCs/>
                <w:sz w:val="22"/>
                <w:szCs w:val="22"/>
              </w:rPr>
              <w:t>London, UK</w:t>
            </w:r>
            <w:r w:rsidR="004C2C61" w:rsidRPr="00137840">
              <w:rPr>
                <w:rStyle w:val="title1"/>
                <w:bCs/>
                <w:sz w:val="22"/>
                <w:szCs w:val="22"/>
              </w:rPr>
              <w:t xml:space="preserve"> –</w:t>
            </w:r>
            <w:r w:rsidR="00F72B9D" w:rsidRPr="008366D8">
              <w:rPr>
                <w:sz w:val="22"/>
                <w:szCs w:val="22"/>
              </w:rPr>
              <w:t>S</w:t>
            </w:r>
            <w:r w:rsidRPr="008366D8">
              <w:rPr>
                <w:sz w:val="22"/>
                <w:szCs w:val="22"/>
              </w:rPr>
              <w:t xml:space="preserve">pecialized </w:t>
            </w:r>
            <w:r w:rsidR="00F72B9D" w:rsidRPr="008366D8">
              <w:rPr>
                <w:sz w:val="22"/>
                <w:szCs w:val="22"/>
              </w:rPr>
              <w:t>lawyer</w:t>
            </w:r>
            <w:r w:rsidRPr="008366D8">
              <w:rPr>
                <w:sz w:val="22"/>
                <w:szCs w:val="22"/>
              </w:rPr>
              <w:t xml:space="preserve"> providing regulatory </w:t>
            </w:r>
            <w:r w:rsidR="00F72B9D" w:rsidRPr="008366D8">
              <w:rPr>
                <w:sz w:val="22"/>
                <w:szCs w:val="22"/>
              </w:rPr>
              <w:t xml:space="preserve">counsel </w:t>
            </w:r>
            <w:r w:rsidRPr="008366D8">
              <w:rPr>
                <w:sz w:val="22"/>
                <w:szCs w:val="22"/>
              </w:rPr>
              <w:t xml:space="preserve">and training to end markets enabling </w:t>
            </w:r>
            <w:r w:rsidR="00F72B9D" w:rsidRPr="008366D8">
              <w:rPr>
                <w:sz w:val="22"/>
                <w:szCs w:val="22"/>
              </w:rPr>
              <w:t xml:space="preserve">the </w:t>
            </w:r>
            <w:r w:rsidRPr="008366D8">
              <w:rPr>
                <w:sz w:val="22"/>
                <w:szCs w:val="22"/>
              </w:rPr>
              <w:t>business to navigate</w:t>
            </w:r>
            <w:r w:rsidR="00662461">
              <w:rPr>
                <w:sz w:val="22"/>
                <w:szCs w:val="22"/>
              </w:rPr>
              <w:t xml:space="preserve"> </w:t>
            </w:r>
            <w:r w:rsidR="00AE5CC8">
              <w:rPr>
                <w:sz w:val="22"/>
                <w:szCs w:val="22"/>
              </w:rPr>
              <w:t>increasingly</w:t>
            </w:r>
            <w:r w:rsidR="00662461">
              <w:rPr>
                <w:sz w:val="22"/>
                <w:szCs w:val="22"/>
              </w:rPr>
              <w:t xml:space="preserve"> challenging</w:t>
            </w:r>
            <w:r w:rsidRPr="008366D8">
              <w:rPr>
                <w:sz w:val="22"/>
                <w:szCs w:val="22"/>
              </w:rPr>
              <w:t xml:space="preserve"> </w:t>
            </w:r>
            <w:r w:rsidR="00F72B9D" w:rsidRPr="008366D8">
              <w:rPr>
                <w:sz w:val="22"/>
                <w:szCs w:val="22"/>
              </w:rPr>
              <w:t xml:space="preserve">regulatory </w:t>
            </w:r>
            <w:r w:rsidR="002460E0" w:rsidRPr="00137840">
              <w:rPr>
                <w:sz w:val="22"/>
                <w:szCs w:val="22"/>
              </w:rPr>
              <w:t>business environment</w:t>
            </w:r>
            <w:r w:rsidRPr="008366D8">
              <w:rPr>
                <w:rFonts w:eastAsia="PMingLiU"/>
                <w:sz w:val="22"/>
                <w:szCs w:val="22"/>
                <w:lang w:eastAsia="zh-TW"/>
              </w:rPr>
              <w:t xml:space="preserve">. </w:t>
            </w:r>
            <w:r w:rsidRPr="008366D8">
              <w:rPr>
                <w:sz w:val="22"/>
                <w:szCs w:val="22"/>
                <w:lang w:eastAsia="zh-TW"/>
              </w:rPr>
              <w:t>Pioneered strategy of utilizing IP protections of international trade and investment laws to counter regulatory proposals such as plain packaging.</w:t>
            </w:r>
            <w:r w:rsidRPr="008366D8">
              <w:rPr>
                <w:sz w:val="22"/>
                <w:szCs w:val="22"/>
              </w:rPr>
              <w:t xml:space="preserve"> </w:t>
            </w:r>
            <w:r w:rsidR="00BB0EB0">
              <w:rPr>
                <w:sz w:val="22"/>
                <w:szCs w:val="22"/>
                <w:lang w:eastAsia="en-GB"/>
              </w:rPr>
              <w:t>Led</w:t>
            </w:r>
            <w:r w:rsidRPr="008366D8">
              <w:rPr>
                <w:sz w:val="22"/>
                <w:szCs w:val="22"/>
                <w:lang w:eastAsia="en-GB"/>
              </w:rPr>
              <w:t xml:space="preserve"> challenges to </w:t>
            </w:r>
            <w:r w:rsidRPr="008366D8">
              <w:rPr>
                <w:sz w:val="22"/>
                <w:szCs w:val="22"/>
                <w:lang w:eastAsia="en-GB"/>
              </w:rPr>
              <w:lastRenderedPageBreak/>
              <w:t xml:space="preserve">national legislation and regulation as well as EU directives banning advertising and promotion (including product display), through constitutional arguments such as violation of fundamental rights of communication and private property rights as well as public international law (TRIPS, WTO, TBT) and EU arguments (Proportionality, European Convention of Human Rights). </w:t>
            </w:r>
          </w:p>
          <w:p w14:paraId="2847C3A2" w14:textId="31BDFBEA" w:rsidR="00A26838" w:rsidRPr="008366D8" w:rsidRDefault="00A26838" w:rsidP="004C2C61">
            <w:pPr>
              <w:spacing w:after="200" w:line="276" w:lineRule="auto"/>
              <w:ind w:left="407"/>
              <w:contextualSpacing/>
              <w:jc w:val="both"/>
              <w:rPr>
                <w:b/>
                <w:bCs/>
                <w:color w:val="000000" w:themeColor="text1"/>
                <w:sz w:val="22"/>
                <w:szCs w:val="22"/>
              </w:rPr>
            </w:pPr>
            <w:r w:rsidRPr="008366D8">
              <w:rPr>
                <w:rStyle w:val="title1"/>
                <w:b/>
                <w:color w:val="000000" w:themeColor="text1"/>
                <w:sz w:val="22"/>
                <w:szCs w:val="22"/>
              </w:rPr>
              <w:t>2004</w:t>
            </w:r>
            <w:r w:rsidR="004C2C61" w:rsidRPr="008366D8">
              <w:rPr>
                <w:rStyle w:val="title1"/>
                <w:b/>
                <w:color w:val="000000" w:themeColor="text1"/>
                <w:sz w:val="22"/>
                <w:szCs w:val="22"/>
              </w:rPr>
              <w:t xml:space="preserve"> - </w:t>
            </w:r>
            <w:r w:rsidRPr="008366D8">
              <w:rPr>
                <w:rStyle w:val="title1"/>
                <w:b/>
                <w:color w:val="000000" w:themeColor="text1"/>
                <w:sz w:val="22"/>
                <w:szCs w:val="22"/>
              </w:rPr>
              <w:t>2006</w:t>
            </w:r>
            <w:r w:rsidR="004C2C61" w:rsidRPr="008366D8">
              <w:rPr>
                <w:rStyle w:val="title1"/>
                <w:b/>
                <w:color w:val="000000" w:themeColor="text1"/>
                <w:sz w:val="22"/>
                <w:szCs w:val="22"/>
              </w:rPr>
              <w:t>:</w:t>
            </w:r>
            <w:r w:rsidRPr="008366D8">
              <w:rPr>
                <w:rStyle w:val="title1"/>
                <w:b/>
                <w:color w:val="000000" w:themeColor="text1"/>
                <w:sz w:val="22"/>
                <w:szCs w:val="22"/>
              </w:rPr>
              <w:t xml:space="preserve"> </w:t>
            </w:r>
            <w:r w:rsidRPr="008366D8">
              <w:rPr>
                <w:rStyle w:val="title1"/>
                <w:bCs/>
                <w:color w:val="000000" w:themeColor="text1"/>
                <w:sz w:val="22"/>
                <w:szCs w:val="22"/>
              </w:rPr>
              <w:t>Legal Director</w:t>
            </w:r>
            <w:r w:rsidR="004C2C61" w:rsidRPr="008366D8">
              <w:rPr>
                <w:rStyle w:val="title1"/>
                <w:bCs/>
                <w:color w:val="000000" w:themeColor="text1"/>
                <w:sz w:val="22"/>
                <w:szCs w:val="22"/>
              </w:rPr>
              <w:t xml:space="preserve">, </w:t>
            </w:r>
            <w:r w:rsidRPr="008366D8">
              <w:rPr>
                <w:rStyle w:val="orgsummary"/>
                <w:bCs/>
                <w:color w:val="000000" w:themeColor="text1"/>
                <w:sz w:val="22"/>
                <w:szCs w:val="22"/>
              </w:rPr>
              <w:t>Madrid, Spain</w:t>
            </w:r>
            <w:r w:rsidR="004C2C61" w:rsidRPr="008366D8">
              <w:rPr>
                <w:rStyle w:val="Strong"/>
                <w:color w:val="000000" w:themeColor="text1"/>
                <w:sz w:val="22"/>
                <w:szCs w:val="22"/>
              </w:rPr>
              <w:t xml:space="preserve"> –</w:t>
            </w:r>
            <w:r w:rsidR="00391701" w:rsidRPr="008366D8">
              <w:rPr>
                <w:color w:val="000000" w:themeColor="text1"/>
                <w:sz w:val="22"/>
                <w:szCs w:val="22"/>
                <w:shd w:val="clear" w:color="auto" w:fill="FFFFFF"/>
              </w:rPr>
              <w:t xml:space="preserve"> </w:t>
            </w:r>
            <w:r w:rsidR="00F671E0" w:rsidRPr="008366D8">
              <w:rPr>
                <w:color w:val="000000" w:themeColor="text1"/>
                <w:sz w:val="22"/>
                <w:szCs w:val="22"/>
                <w:shd w:val="clear" w:color="auto" w:fill="FFFFFF"/>
              </w:rPr>
              <w:t xml:space="preserve">Head of function and </w:t>
            </w:r>
            <w:r w:rsidR="00BB0EB0">
              <w:rPr>
                <w:color w:val="000000" w:themeColor="text1"/>
                <w:sz w:val="22"/>
                <w:szCs w:val="22"/>
                <w:shd w:val="clear" w:color="auto" w:fill="FFFFFF"/>
              </w:rPr>
              <w:t xml:space="preserve">member of area </w:t>
            </w:r>
            <w:r w:rsidR="00391701" w:rsidRPr="008366D8">
              <w:rPr>
                <w:color w:val="000000" w:themeColor="text1"/>
                <w:sz w:val="22"/>
                <w:szCs w:val="22"/>
                <w:shd w:val="clear" w:color="auto" w:fill="FFFFFF"/>
              </w:rPr>
              <w:t>business leadership team</w:t>
            </w:r>
            <w:r w:rsidR="00F671E0">
              <w:rPr>
                <w:color w:val="000000" w:themeColor="text1"/>
                <w:sz w:val="22"/>
                <w:szCs w:val="22"/>
                <w:shd w:val="clear" w:color="auto" w:fill="FFFFFF"/>
              </w:rPr>
              <w:t xml:space="preserve"> member</w:t>
            </w:r>
            <w:r w:rsidR="00391701" w:rsidRPr="008366D8">
              <w:rPr>
                <w:color w:val="000000" w:themeColor="text1"/>
                <w:sz w:val="22"/>
                <w:szCs w:val="22"/>
                <w:shd w:val="clear" w:color="auto" w:fill="FFFFFF"/>
              </w:rPr>
              <w:t>,</w:t>
            </w:r>
            <w:r w:rsidRPr="008366D8">
              <w:rPr>
                <w:color w:val="000000" w:themeColor="text1"/>
                <w:sz w:val="22"/>
                <w:szCs w:val="22"/>
                <w:lang w:eastAsia="zh-TW"/>
              </w:rPr>
              <w:t xml:space="preserve"> </w:t>
            </w:r>
            <w:r w:rsidR="00A50F24">
              <w:rPr>
                <w:color w:val="000000" w:themeColor="text1"/>
                <w:sz w:val="22"/>
                <w:szCs w:val="22"/>
                <w:lang w:eastAsia="zh-TW"/>
              </w:rPr>
              <w:t>leading the</w:t>
            </w:r>
            <w:r w:rsidRPr="008366D8">
              <w:rPr>
                <w:color w:val="000000" w:themeColor="text1"/>
                <w:sz w:val="22"/>
                <w:szCs w:val="22"/>
                <w:lang w:eastAsia="zh-TW"/>
              </w:rPr>
              <w:t xml:space="preserve"> legal team and compliance/businesses risk management processes in Spain, Portugal, Gibraltar, </w:t>
            </w:r>
            <w:r w:rsidR="008247D6" w:rsidRPr="008366D8">
              <w:rPr>
                <w:color w:val="000000" w:themeColor="text1"/>
                <w:sz w:val="22"/>
                <w:szCs w:val="22"/>
                <w:lang w:eastAsia="zh-TW"/>
              </w:rPr>
              <w:t>Andorra,</w:t>
            </w:r>
            <w:r w:rsidRPr="008366D8">
              <w:rPr>
                <w:color w:val="000000" w:themeColor="text1"/>
                <w:sz w:val="22"/>
                <w:szCs w:val="22"/>
                <w:lang w:eastAsia="zh-TW"/>
              </w:rPr>
              <w:t xml:space="preserve"> and Azores</w:t>
            </w:r>
            <w:r w:rsidRPr="008366D8">
              <w:rPr>
                <w:color w:val="000000" w:themeColor="text1"/>
                <w:sz w:val="22"/>
                <w:szCs w:val="22"/>
              </w:rPr>
              <w:t xml:space="preserve">. </w:t>
            </w:r>
            <w:r w:rsidRPr="008366D8">
              <w:rPr>
                <w:color w:val="000000" w:themeColor="text1"/>
                <w:sz w:val="22"/>
                <w:szCs w:val="22"/>
                <w:lang w:eastAsia="zh-TW"/>
              </w:rPr>
              <w:t xml:space="preserve">Led business through </w:t>
            </w:r>
            <w:r w:rsidR="002460E0" w:rsidRPr="008366D8">
              <w:rPr>
                <w:color w:val="000000" w:themeColor="text1"/>
                <w:sz w:val="22"/>
                <w:szCs w:val="22"/>
                <w:lang w:eastAsia="zh-TW"/>
              </w:rPr>
              <w:t>challenging</w:t>
            </w:r>
            <w:r w:rsidRPr="008366D8">
              <w:rPr>
                <w:color w:val="000000" w:themeColor="text1"/>
                <w:sz w:val="22"/>
                <w:szCs w:val="22"/>
                <w:lang w:eastAsia="zh-TW"/>
              </w:rPr>
              <w:t xml:space="preserve"> transition to total advertising ban and ensuing price war</w:t>
            </w:r>
            <w:r w:rsidRPr="008366D8">
              <w:rPr>
                <w:color w:val="000000" w:themeColor="text1"/>
                <w:sz w:val="22"/>
                <w:szCs w:val="22"/>
              </w:rPr>
              <w:t xml:space="preserve">. </w:t>
            </w:r>
            <w:r w:rsidRPr="008366D8">
              <w:rPr>
                <w:color w:val="000000" w:themeColor="text1"/>
                <w:sz w:val="22"/>
                <w:szCs w:val="22"/>
                <w:lang w:eastAsia="zh-TW"/>
              </w:rPr>
              <w:t xml:space="preserve">Successfully </w:t>
            </w:r>
            <w:r w:rsidR="00662461">
              <w:rPr>
                <w:color w:val="000000" w:themeColor="text1"/>
                <w:sz w:val="22"/>
                <w:szCs w:val="22"/>
                <w:lang w:eastAsia="zh-TW"/>
              </w:rPr>
              <w:t>prosecuted</w:t>
            </w:r>
            <w:r w:rsidRPr="008366D8">
              <w:rPr>
                <w:color w:val="000000" w:themeColor="text1"/>
                <w:sz w:val="22"/>
                <w:szCs w:val="22"/>
                <w:lang w:eastAsia="zh-TW"/>
              </w:rPr>
              <w:t xml:space="preserve"> significant product liability, IP infringement, advertising, dealer/distributor termination and contract litigation</w:t>
            </w:r>
            <w:r w:rsidR="004D641F">
              <w:rPr>
                <w:color w:val="000000" w:themeColor="text1"/>
                <w:sz w:val="22"/>
                <w:szCs w:val="22"/>
                <w:lang w:eastAsia="zh-TW"/>
              </w:rPr>
              <w:t>, including first ever private antitrust challenge against leading competitor in Portugal.</w:t>
            </w:r>
          </w:p>
          <w:p w14:paraId="6428E4BB" w14:textId="77777777" w:rsidR="00F72B9D" w:rsidRPr="008366D8" w:rsidRDefault="00F72B9D" w:rsidP="00967B72">
            <w:pPr>
              <w:spacing w:after="200" w:line="276" w:lineRule="auto"/>
              <w:ind w:left="407"/>
              <w:contextualSpacing/>
              <w:jc w:val="both"/>
              <w:rPr>
                <w:rFonts w:eastAsia="PMingLiU"/>
                <w:color w:val="000000" w:themeColor="text1"/>
                <w:sz w:val="22"/>
                <w:szCs w:val="22"/>
                <w:lang w:eastAsia="zh-TW"/>
              </w:rPr>
            </w:pPr>
          </w:p>
          <w:p w14:paraId="0FDBD3B2" w14:textId="2830F93B" w:rsidR="00A26838" w:rsidRPr="00137840" w:rsidRDefault="00A26838" w:rsidP="00967B72">
            <w:pPr>
              <w:numPr>
                <w:ilvl w:val="0"/>
                <w:numId w:val="10"/>
              </w:numPr>
              <w:spacing w:after="200" w:line="276" w:lineRule="auto"/>
              <w:contextualSpacing/>
              <w:jc w:val="both"/>
              <w:rPr>
                <w:rStyle w:val="title1"/>
                <w:b/>
                <w:sz w:val="22"/>
                <w:szCs w:val="22"/>
              </w:rPr>
            </w:pPr>
            <w:r w:rsidRPr="00137840">
              <w:rPr>
                <w:rStyle w:val="title1"/>
                <w:b/>
                <w:sz w:val="22"/>
                <w:szCs w:val="22"/>
              </w:rPr>
              <w:t xml:space="preserve">Pernod Ricard </w:t>
            </w:r>
          </w:p>
          <w:p w14:paraId="7F550D81" w14:textId="11D0ABA5" w:rsidR="00A26838" w:rsidRPr="00137840" w:rsidRDefault="00A26838" w:rsidP="004C2C61">
            <w:pPr>
              <w:spacing w:after="200" w:line="276" w:lineRule="auto"/>
              <w:ind w:left="360"/>
              <w:contextualSpacing/>
              <w:jc w:val="both"/>
              <w:rPr>
                <w:sz w:val="22"/>
                <w:szCs w:val="22"/>
                <w:lang w:eastAsia="zh-TW"/>
              </w:rPr>
            </w:pPr>
            <w:r w:rsidRPr="00137840">
              <w:rPr>
                <w:rStyle w:val="title1"/>
                <w:b/>
                <w:sz w:val="22"/>
                <w:szCs w:val="22"/>
              </w:rPr>
              <w:t>2000</w:t>
            </w:r>
            <w:r w:rsidR="004C2C61" w:rsidRPr="00137840">
              <w:rPr>
                <w:rStyle w:val="title1"/>
                <w:b/>
                <w:sz w:val="22"/>
                <w:szCs w:val="22"/>
              </w:rPr>
              <w:t xml:space="preserve"> </w:t>
            </w:r>
            <w:r w:rsidRPr="00137840">
              <w:rPr>
                <w:rStyle w:val="title1"/>
                <w:b/>
                <w:sz w:val="22"/>
                <w:szCs w:val="22"/>
              </w:rPr>
              <w:t xml:space="preserve">- 2004: </w:t>
            </w:r>
            <w:r w:rsidRPr="008366D8">
              <w:rPr>
                <w:rStyle w:val="title1"/>
                <w:bCs/>
                <w:sz w:val="22"/>
                <w:szCs w:val="22"/>
              </w:rPr>
              <w:t>Legal Director</w:t>
            </w:r>
            <w:r w:rsidRPr="00137840">
              <w:rPr>
                <w:rStyle w:val="orgsummary"/>
                <w:bCs/>
                <w:sz w:val="22"/>
                <w:szCs w:val="22"/>
              </w:rPr>
              <w:t xml:space="preserve">, </w:t>
            </w:r>
            <w:r w:rsidRPr="00137840">
              <w:rPr>
                <w:rStyle w:val="Strong"/>
                <w:b w:val="0"/>
                <w:sz w:val="22"/>
                <w:szCs w:val="22"/>
              </w:rPr>
              <w:t>Madrid, Spain</w:t>
            </w:r>
            <w:r w:rsidR="004C2C61" w:rsidRPr="00137840">
              <w:rPr>
                <w:rStyle w:val="Strong"/>
                <w:b w:val="0"/>
                <w:sz w:val="22"/>
                <w:szCs w:val="22"/>
              </w:rPr>
              <w:t xml:space="preserve"> –</w:t>
            </w:r>
            <w:r w:rsidR="00AE5CC8">
              <w:rPr>
                <w:rStyle w:val="Strong"/>
                <w:b w:val="0"/>
                <w:sz w:val="22"/>
                <w:szCs w:val="22"/>
              </w:rPr>
              <w:t xml:space="preserve"> Established </w:t>
            </w:r>
            <w:r w:rsidR="00AE5CC8">
              <w:rPr>
                <w:sz w:val="22"/>
                <w:szCs w:val="22"/>
                <w:lang w:eastAsia="zh-TW"/>
              </w:rPr>
              <w:t>new</w:t>
            </w:r>
            <w:r w:rsidRPr="00137840">
              <w:rPr>
                <w:sz w:val="22"/>
                <w:szCs w:val="22"/>
                <w:lang w:eastAsia="zh-TW"/>
              </w:rPr>
              <w:t xml:space="preserve"> </w:t>
            </w:r>
            <w:r w:rsidR="00AE5CC8">
              <w:rPr>
                <w:sz w:val="22"/>
                <w:szCs w:val="22"/>
                <w:lang w:eastAsia="zh-TW"/>
              </w:rPr>
              <w:t>l</w:t>
            </w:r>
            <w:r w:rsidRPr="00137840">
              <w:rPr>
                <w:sz w:val="22"/>
                <w:szCs w:val="22"/>
                <w:lang w:eastAsia="zh-TW"/>
              </w:rPr>
              <w:t xml:space="preserve">egal </w:t>
            </w:r>
            <w:r w:rsidR="004C2C61" w:rsidRPr="00137840">
              <w:rPr>
                <w:sz w:val="22"/>
                <w:szCs w:val="22"/>
                <w:lang w:eastAsia="zh-TW"/>
              </w:rPr>
              <w:t>department</w:t>
            </w:r>
            <w:r w:rsidRPr="00137840">
              <w:rPr>
                <w:sz w:val="22"/>
                <w:szCs w:val="22"/>
                <w:lang w:eastAsia="zh-TW"/>
              </w:rPr>
              <w:t xml:space="preserve">, providing counsel and governance to manufacturing, </w:t>
            </w:r>
            <w:r w:rsidR="008247D6" w:rsidRPr="00137840">
              <w:rPr>
                <w:sz w:val="22"/>
                <w:szCs w:val="22"/>
                <w:lang w:eastAsia="zh-TW"/>
              </w:rPr>
              <w:t>marketing,</w:t>
            </w:r>
            <w:r w:rsidRPr="00137840">
              <w:rPr>
                <w:sz w:val="22"/>
                <w:szCs w:val="22"/>
                <w:lang w:eastAsia="zh-TW"/>
              </w:rPr>
              <w:t xml:space="preserve"> and import/export activities of business. Successfully prosecuted </w:t>
            </w:r>
            <w:r w:rsidR="003B2530" w:rsidRPr="00137840">
              <w:rPr>
                <w:sz w:val="22"/>
                <w:szCs w:val="22"/>
                <w:lang w:eastAsia="zh-TW"/>
              </w:rPr>
              <w:t>dealer</w:t>
            </w:r>
            <w:r w:rsidRPr="00137840">
              <w:rPr>
                <w:sz w:val="22"/>
                <w:szCs w:val="22"/>
                <w:lang w:eastAsia="zh-TW"/>
              </w:rPr>
              <w:t>/</w:t>
            </w:r>
            <w:r w:rsidR="003B2530" w:rsidRPr="00137840">
              <w:rPr>
                <w:sz w:val="22"/>
                <w:szCs w:val="22"/>
                <w:lang w:eastAsia="zh-TW"/>
              </w:rPr>
              <w:t xml:space="preserve">distributor </w:t>
            </w:r>
            <w:r w:rsidRPr="00137840">
              <w:rPr>
                <w:sz w:val="22"/>
                <w:szCs w:val="22"/>
                <w:lang w:eastAsia="zh-TW"/>
              </w:rPr>
              <w:t xml:space="preserve">terminations, unfair </w:t>
            </w:r>
            <w:r w:rsidR="005D2C76" w:rsidRPr="00137840">
              <w:rPr>
                <w:sz w:val="22"/>
                <w:szCs w:val="22"/>
                <w:lang w:eastAsia="zh-TW"/>
              </w:rPr>
              <w:t>competition,</w:t>
            </w:r>
            <w:r w:rsidR="008247D6" w:rsidRPr="00137840">
              <w:rPr>
                <w:sz w:val="22"/>
                <w:szCs w:val="22"/>
                <w:lang w:eastAsia="zh-TW"/>
              </w:rPr>
              <w:t xml:space="preserve"> </w:t>
            </w:r>
            <w:r w:rsidRPr="00137840">
              <w:rPr>
                <w:sz w:val="22"/>
                <w:szCs w:val="22"/>
                <w:lang w:eastAsia="zh-TW"/>
              </w:rPr>
              <w:t>and trademark infringement litigation before Spanish and Portuguese Courts, including first ever legal challenge to outdoor alcohol advertising ban in Spain.</w:t>
            </w:r>
          </w:p>
          <w:p w14:paraId="7CF416C1" w14:textId="77777777" w:rsidR="004C2C61" w:rsidRPr="008366D8" w:rsidRDefault="004C2C61" w:rsidP="004C2C61">
            <w:pPr>
              <w:spacing w:after="200" w:line="276" w:lineRule="auto"/>
              <w:ind w:left="360"/>
              <w:contextualSpacing/>
              <w:jc w:val="both"/>
              <w:rPr>
                <w:rStyle w:val="orgsummary"/>
                <w:bCs/>
                <w:sz w:val="22"/>
                <w:szCs w:val="22"/>
              </w:rPr>
            </w:pPr>
          </w:p>
          <w:p w14:paraId="3B19E4EC" w14:textId="77777777" w:rsidR="00A26838" w:rsidRPr="00137840" w:rsidRDefault="00A26838" w:rsidP="00967B72">
            <w:pPr>
              <w:numPr>
                <w:ilvl w:val="0"/>
                <w:numId w:val="10"/>
              </w:numPr>
              <w:spacing w:after="200" w:line="276" w:lineRule="auto"/>
              <w:contextualSpacing/>
              <w:jc w:val="both"/>
              <w:rPr>
                <w:rStyle w:val="Strong"/>
                <w:b w:val="0"/>
                <w:sz w:val="22"/>
                <w:szCs w:val="22"/>
              </w:rPr>
            </w:pPr>
            <w:r w:rsidRPr="00137840">
              <w:rPr>
                <w:rStyle w:val="orgsummary"/>
                <w:b/>
                <w:sz w:val="22"/>
                <w:szCs w:val="22"/>
              </w:rPr>
              <w:t>Decathlon</w:t>
            </w:r>
            <w:r w:rsidRPr="00137840">
              <w:rPr>
                <w:rStyle w:val="Strong"/>
                <w:bCs w:val="0"/>
                <w:sz w:val="22"/>
                <w:szCs w:val="22"/>
              </w:rPr>
              <w:t xml:space="preserve"> España</w:t>
            </w:r>
          </w:p>
          <w:p w14:paraId="6B70007B" w14:textId="2E8AA50E" w:rsidR="004C2C61" w:rsidRPr="00137840" w:rsidRDefault="00A26838" w:rsidP="004C2C61">
            <w:pPr>
              <w:spacing w:before="100" w:beforeAutospacing="1" w:after="100" w:afterAutospacing="1" w:line="276" w:lineRule="auto"/>
              <w:ind w:left="360"/>
              <w:contextualSpacing/>
              <w:jc w:val="both"/>
              <w:rPr>
                <w:sz w:val="22"/>
                <w:szCs w:val="22"/>
                <w:lang w:eastAsia="zh-TW"/>
              </w:rPr>
            </w:pPr>
            <w:r w:rsidRPr="00137840">
              <w:rPr>
                <w:rStyle w:val="title1"/>
                <w:b/>
                <w:sz w:val="22"/>
                <w:szCs w:val="22"/>
              </w:rPr>
              <w:t>1998- 2000</w:t>
            </w:r>
            <w:r w:rsidRPr="008366D8">
              <w:rPr>
                <w:rStyle w:val="title1"/>
                <w:bCs/>
                <w:sz w:val="22"/>
                <w:szCs w:val="22"/>
              </w:rPr>
              <w:t>: Legal Counsel</w:t>
            </w:r>
            <w:r w:rsidRPr="00137840">
              <w:rPr>
                <w:rStyle w:val="title1"/>
                <w:bCs/>
                <w:sz w:val="22"/>
                <w:szCs w:val="22"/>
              </w:rPr>
              <w:t>,</w:t>
            </w:r>
            <w:r w:rsidRPr="00137840">
              <w:rPr>
                <w:rStyle w:val="Strong"/>
                <w:b w:val="0"/>
                <w:sz w:val="22"/>
                <w:szCs w:val="22"/>
              </w:rPr>
              <w:t xml:space="preserve"> Madrid, Spain</w:t>
            </w:r>
            <w:r w:rsidR="004C2C61" w:rsidRPr="00137840">
              <w:rPr>
                <w:rStyle w:val="Strong"/>
                <w:b w:val="0"/>
                <w:sz w:val="22"/>
                <w:szCs w:val="22"/>
              </w:rPr>
              <w:t xml:space="preserve"> –</w:t>
            </w:r>
            <w:r w:rsidR="005B2A13" w:rsidRPr="00137840">
              <w:rPr>
                <w:rStyle w:val="Strong"/>
                <w:b w:val="0"/>
                <w:sz w:val="22"/>
                <w:szCs w:val="22"/>
              </w:rPr>
              <w:t xml:space="preserve"> </w:t>
            </w:r>
            <w:r w:rsidR="008247D6" w:rsidRPr="00137840">
              <w:rPr>
                <w:rStyle w:val="Strong"/>
                <w:b w:val="0"/>
                <w:sz w:val="22"/>
                <w:szCs w:val="22"/>
              </w:rPr>
              <w:t>Provid</w:t>
            </w:r>
            <w:r w:rsidR="005B2A13" w:rsidRPr="00137840">
              <w:rPr>
                <w:rStyle w:val="Strong"/>
                <w:b w:val="0"/>
                <w:sz w:val="22"/>
                <w:szCs w:val="22"/>
              </w:rPr>
              <w:t>ing</w:t>
            </w:r>
            <w:r w:rsidR="008247D6" w:rsidRPr="00137840">
              <w:rPr>
                <w:rStyle w:val="Strong"/>
                <w:b w:val="0"/>
                <w:sz w:val="22"/>
                <w:szCs w:val="22"/>
              </w:rPr>
              <w:t xml:space="preserve"> corporate and commercial law </w:t>
            </w:r>
            <w:r w:rsidR="00E86DE6" w:rsidRPr="00137840">
              <w:rPr>
                <w:rStyle w:val="Strong"/>
                <w:b w:val="0"/>
                <w:sz w:val="22"/>
                <w:szCs w:val="22"/>
              </w:rPr>
              <w:t xml:space="preserve">counselling. </w:t>
            </w:r>
            <w:r w:rsidRPr="008366D8">
              <w:rPr>
                <w:sz w:val="22"/>
                <w:szCs w:val="22"/>
                <w:lang w:eastAsia="zh-TW"/>
              </w:rPr>
              <w:t xml:space="preserve">Successfully negotiated and </w:t>
            </w:r>
            <w:r w:rsidR="004C2C61" w:rsidRPr="00137840">
              <w:rPr>
                <w:sz w:val="22"/>
                <w:szCs w:val="22"/>
                <w:lang w:eastAsia="zh-TW"/>
              </w:rPr>
              <w:t>consummated</w:t>
            </w:r>
            <w:r w:rsidR="004C2C61" w:rsidRPr="008366D8">
              <w:rPr>
                <w:sz w:val="22"/>
                <w:szCs w:val="22"/>
                <w:lang w:eastAsia="zh-TW"/>
              </w:rPr>
              <w:t xml:space="preserve"> </w:t>
            </w:r>
            <w:r w:rsidRPr="008366D8">
              <w:rPr>
                <w:sz w:val="22"/>
                <w:szCs w:val="22"/>
                <w:lang w:eastAsia="zh-TW"/>
              </w:rPr>
              <w:t xml:space="preserve">key real estate </w:t>
            </w:r>
            <w:r w:rsidR="004C2C61" w:rsidRPr="00137840">
              <w:rPr>
                <w:sz w:val="22"/>
                <w:szCs w:val="22"/>
                <w:lang w:eastAsia="zh-TW"/>
              </w:rPr>
              <w:t>transaction</w:t>
            </w:r>
            <w:r w:rsidR="004C2C61" w:rsidRPr="008366D8">
              <w:rPr>
                <w:sz w:val="22"/>
                <w:szCs w:val="22"/>
                <w:lang w:eastAsia="zh-TW"/>
              </w:rPr>
              <w:t>s</w:t>
            </w:r>
            <w:r w:rsidR="004C2C61" w:rsidRPr="00137840">
              <w:rPr>
                <w:sz w:val="22"/>
                <w:szCs w:val="22"/>
                <w:lang w:eastAsia="zh-TW"/>
              </w:rPr>
              <w:t>, including</w:t>
            </w:r>
            <w:r w:rsidR="004C2C61" w:rsidRPr="008366D8">
              <w:rPr>
                <w:sz w:val="22"/>
                <w:szCs w:val="22"/>
                <w:lang w:eastAsia="zh-TW"/>
              </w:rPr>
              <w:t xml:space="preserve"> </w:t>
            </w:r>
            <w:r w:rsidRPr="008366D8">
              <w:rPr>
                <w:sz w:val="22"/>
                <w:szCs w:val="22"/>
                <w:lang w:eastAsia="zh-TW"/>
              </w:rPr>
              <w:t xml:space="preserve">opening new stores in Andalucía, </w:t>
            </w:r>
            <w:proofErr w:type="spellStart"/>
            <w:r w:rsidRPr="008366D8">
              <w:rPr>
                <w:sz w:val="22"/>
                <w:szCs w:val="22"/>
                <w:lang w:eastAsia="zh-TW"/>
              </w:rPr>
              <w:t>Pais</w:t>
            </w:r>
            <w:proofErr w:type="spellEnd"/>
            <w:r w:rsidRPr="008366D8">
              <w:rPr>
                <w:sz w:val="22"/>
                <w:szCs w:val="22"/>
                <w:lang w:eastAsia="zh-TW"/>
              </w:rPr>
              <w:t xml:space="preserve"> </w:t>
            </w:r>
            <w:r w:rsidR="008247D6" w:rsidRPr="008366D8">
              <w:rPr>
                <w:sz w:val="22"/>
                <w:szCs w:val="22"/>
                <w:lang w:eastAsia="zh-TW"/>
              </w:rPr>
              <w:t>Vasco,</w:t>
            </w:r>
            <w:r w:rsidRPr="008366D8">
              <w:rPr>
                <w:sz w:val="22"/>
                <w:szCs w:val="22"/>
                <w:lang w:eastAsia="zh-TW"/>
              </w:rPr>
              <w:t xml:space="preserve"> and Galicia.</w:t>
            </w:r>
          </w:p>
          <w:p w14:paraId="42CF6B37" w14:textId="77777777" w:rsidR="00A26838" w:rsidRPr="008366D8" w:rsidRDefault="00A26838" w:rsidP="008366D8">
            <w:pPr>
              <w:spacing w:before="100" w:beforeAutospacing="1" w:after="100" w:afterAutospacing="1" w:line="276" w:lineRule="auto"/>
              <w:ind w:left="360"/>
              <w:contextualSpacing/>
              <w:jc w:val="both"/>
              <w:rPr>
                <w:bCs/>
                <w:sz w:val="22"/>
                <w:szCs w:val="22"/>
              </w:rPr>
            </w:pPr>
            <w:r w:rsidRPr="008366D8">
              <w:rPr>
                <w:sz w:val="22"/>
                <w:szCs w:val="22"/>
                <w:lang w:eastAsia="zh-TW"/>
              </w:rPr>
              <w:t xml:space="preserve"> </w:t>
            </w:r>
          </w:p>
          <w:p w14:paraId="7E78AF33" w14:textId="17EAC522" w:rsidR="004C2C61" w:rsidRPr="00137840" w:rsidRDefault="00A26838" w:rsidP="00967B72">
            <w:pPr>
              <w:numPr>
                <w:ilvl w:val="0"/>
                <w:numId w:val="10"/>
              </w:numPr>
              <w:spacing w:after="200" w:line="276" w:lineRule="auto"/>
              <w:contextualSpacing/>
              <w:jc w:val="both"/>
              <w:rPr>
                <w:rStyle w:val="Strong"/>
                <w:b w:val="0"/>
                <w:sz w:val="22"/>
                <w:szCs w:val="22"/>
              </w:rPr>
            </w:pPr>
            <w:r w:rsidRPr="00137840">
              <w:rPr>
                <w:rStyle w:val="orgsummary"/>
                <w:b/>
                <w:sz w:val="22"/>
                <w:szCs w:val="22"/>
              </w:rPr>
              <w:t>Lowenstein Sandler</w:t>
            </w:r>
            <w:r w:rsidRPr="00137840">
              <w:rPr>
                <w:rStyle w:val="Strong"/>
                <w:b w:val="0"/>
                <w:sz w:val="22"/>
                <w:szCs w:val="22"/>
              </w:rPr>
              <w:t xml:space="preserve"> </w:t>
            </w:r>
          </w:p>
          <w:p w14:paraId="76E637E0" w14:textId="7AB4071D" w:rsidR="00A26838" w:rsidRPr="00137840" w:rsidRDefault="00A26838" w:rsidP="004C2C61">
            <w:pPr>
              <w:spacing w:after="200" w:line="276" w:lineRule="auto"/>
              <w:ind w:left="360"/>
              <w:contextualSpacing/>
              <w:jc w:val="both"/>
              <w:rPr>
                <w:color w:val="000000"/>
                <w:sz w:val="22"/>
                <w:szCs w:val="22"/>
                <w:shd w:val="clear" w:color="auto" w:fill="FFFFFF"/>
              </w:rPr>
            </w:pPr>
            <w:r w:rsidRPr="00137840">
              <w:rPr>
                <w:rStyle w:val="Strong"/>
                <w:bCs w:val="0"/>
                <w:sz w:val="22"/>
                <w:szCs w:val="22"/>
              </w:rPr>
              <w:t xml:space="preserve">1991-1996: </w:t>
            </w:r>
            <w:r w:rsidRPr="00137840">
              <w:rPr>
                <w:rStyle w:val="Strong"/>
                <w:b w:val="0"/>
                <w:sz w:val="22"/>
                <w:szCs w:val="22"/>
              </w:rPr>
              <w:t>Associate, Roseland, New Jersey</w:t>
            </w:r>
            <w:r w:rsidR="004C2C61" w:rsidRPr="00137840">
              <w:rPr>
                <w:rStyle w:val="Strong"/>
                <w:b w:val="0"/>
                <w:sz w:val="22"/>
                <w:szCs w:val="22"/>
              </w:rPr>
              <w:t xml:space="preserve"> </w:t>
            </w:r>
            <w:r w:rsidR="004C2C61" w:rsidRPr="00137840">
              <w:rPr>
                <w:bCs/>
                <w:sz w:val="22"/>
                <w:szCs w:val="22"/>
              </w:rPr>
              <w:t>–</w:t>
            </w:r>
            <w:r w:rsidR="005B2A13" w:rsidRPr="00137840">
              <w:rPr>
                <w:bCs/>
                <w:sz w:val="22"/>
                <w:szCs w:val="22"/>
              </w:rPr>
              <w:t xml:space="preserve"> </w:t>
            </w:r>
            <w:r w:rsidRPr="008366D8">
              <w:rPr>
                <w:sz w:val="22"/>
                <w:szCs w:val="22"/>
              </w:rPr>
              <w:t xml:space="preserve">Representing manufacturers in governmental enforcement proceedings seeking damages and remedial action arising from environmental contamination. Also </w:t>
            </w:r>
            <w:r w:rsidR="005B2A13" w:rsidRPr="00137840">
              <w:rPr>
                <w:sz w:val="22"/>
                <w:szCs w:val="22"/>
              </w:rPr>
              <w:t>r</w:t>
            </w:r>
            <w:r w:rsidR="005B2A13" w:rsidRPr="008366D8">
              <w:rPr>
                <w:sz w:val="22"/>
                <w:szCs w:val="22"/>
              </w:rPr>
              <w:t xml:space="preserve">epresented </w:t>
            </w:r>
            <w:r w:rsidRPr="008366D8">
              <w:rPr>
                <w:sz w:val="22"/>
                <w:szCs w:val="22"/>
              </w:rPr>
              <w:t xml:space="preserve">policyholders in CGL coverage claims against their insurers for damages arising from environmental contamination. </w:t>
            </w:r>
          </w:p>
          <w:p w14:paraId="78FA926B" w14:textId="77777777" w:rsidR="004C2C61" w:rsidRPr="008366D8" w:rsidRDefault="004C2C61" w:rsidP="008366D8">
            <w:pPr>
              <w:spacing w:after="200" w:line="276" w:lineRule="auto"/>
              <w:ind w:left="360"/>
              <w:contextualSpacing/>
              <w:jc w:val="both"/>
              <w:rPr>
                <w:bCs/>
                <w:sz w:val="22"/>
                <w:szCs w:val="22"/>
              </w:rPr>
            </w:pPr>
          </w:p>
          <w:p w14:paraId="3FD0116D" w14:textId="77777777" w:rsidR="00A26838" w:rsidRPr="00137840" w:rsidRDefault="00A26838" w:rsidP="00967B72">
            <w:pPr>
              <w:numPr>
                <w:ilvl w:val="0"/>
                <w:numId w:val="10"/>
              </w:numPr>
              <w:spacing w:after="200" w:line="276" w:lineRule="auto"/>
              <w:contextualSpacing/>
              <w:jc w:val="both"/>
              <w:rPr>
                <w:rStyle w:val="Strong"/>
                <w:b w:val="0"/>
                <w:sz w:val="22"/>
                <w:szCs w:val="22"/>
              </w:rPr>
            </w:pPr>
            <w:r w:rsidRPr="00137840">
              <w:rPr>
                <w:rStyle w:val="orgsummary"/>
                <w:b/>
                <w:sz w:val="22"/>
                <w:szCs w:val="22"/>
              </w:rPr>
              <w:t>Thieffry et Associes</w:t>
            </w:r>
          </w:p>
          <w:p w14:paraId="2C39547F" w14:textId="30B2F988" w:rsidR="00A26838" w:rsidRPr="00137840" w:rsidRDefault="00A26838" w:rsidP="004C2C61">
            <w:pPr>
              <w:spacing w:after="200" w:line="276" w:lineRule="auto"/>
              <w:ind w:left="407"/>
              <w:contextualSpacing/>
              <w:jc w:val="both"/>
              <w:rPr>
                <w:bCs/>
                <w:sz w:val="22"/>
                <w:szCs w:val="22"/>
              </w:rPr>
            </w:pPr>
            <w:r w:rsidRPr="008366D8">
              <w:rPr>
                <w:rStyle w:val="Strong"/>
                <w:bCs w:val="0"/>
                <w:sz w:val="22"/>
                <w:szCs w:val="22"/>
              </w:rPr>
              <w:t>1989-1991</w:t>
            </w:r>
            <w:r w:rsidRPr="00137840">
              <w:rPr>
                <w:rStyle w:val="Strong"/>
                <w:b w:val="0"/>
                <w:sz w:val="22"/>
                <w:szCs w:val="22"/>
              </w:rPr>
              <w:t>: Associate, New York, NY</w:t>
            </w:r>
            <w:r w:rsidR="004C2C61" w:rsidRPr="00137840">
              <w:rPr>
                <w:rStyle w:val="Strong"/>
                <w:b w:val="0"/>
                <w:sz w:val="22"/>
                <w:szCs w:val="22"/>
              </w:rPr>
              <w:t xml:space="preserve"> – </w:t>
            </w:r>
            <w:r w:rsidRPr="00137840">
              <w:rPr>
                <w:sz w:val="22"/>
                <w:szCs w:val="22"/>
                <w:lang w:eastAsia="zh-TW"/>
              </w:rPr>
              <w:t>Counselled predominantly French client base on commercial and product liability issues arising from their U</w:t>
            </w:r>
            <w:r w:rsidR="0042395D" w:rsidRPr="00137840">
              <w:rPr>
                <w:sz w:val="22"/>
                <w:szCs w:val="22"/>
                <w:lang w:eastAsia="zh-TW"/>
              </w:rPr>
              <w:t>.</w:t>
            </w:r>
            <w:r w:rsidRPr="00137840">
              <w:rPr>
                <w:sz w:val="22"/>
                <w:szCs w:val="22"/>
                <w:lang w:eastAsia="zh-TW"/>
              </w:rPr>
              <w:t>S</w:t>
            </w:r>
            <w:r w:rsidR="0042395D" w:rsidRPr="00137840">
              <w:rPr>
                <w:sz w:val="22"/>
                <w:szCs w:val="22"/>
                <w:lang w:eastAsia="zh-TW"/>
              </w:rPr>
              <w:t>.</w:t>
            </w:r>
            <w:r w:rsidRPr="00137840">
              <w:rPr>
                <w:sz w:val="22"/>
                <w:szCs w:val="22"/>
                <w:lang w:eastAsia="zh-TW"/>
              </w:rPr>
              <w:t xml:space="preserve"> activities. </w:t>
            </w:r>
            <w:r w:rsidR="002460E0" w:rsidRPr="00137840">
              <w:rPr>
                <w:sz w:val="22"/>
                <w:szCs w:val="22"/>
                <w:lang w:eastAsia="zh-TW"/>
              </w:rPr>
              <w:t xml:space="preserve"> </w:t>
            </w:r>
          </w:p>
          <w:p w14:paraId="2E6B5412" w14:textId="77777777" w:rsidR="00A26838" w:rsidRPr="00137840" w:rsidRDefault="00A26838" w:rsidP="00967B72">
            <w:pPr>
              <w:spacing w:line="276" w:lineRule="auto"/>
              <w:jc w:val="both"/>
              <w:rPr>
                <w:sz w:val="22"/>
                <w:szCs w:val="22"/>
              </w:rPr>
            </w:pPr>
          </w:p>
        </w:tc>
      </w:tr>
      <w:tr w:rsidR="00A26838" w:rsidRPr="00137840" w14:paraId="56C0A905" w14:textId="77777777" w:rsidTr="00BE60C2">
        <w:trPr>
          <w:trHeight w:val="449"/>
        </w:trPr>
        <w:tc>
          <w:tcPr>
            <w:tcW w:w="9450" w:type="dxa"/>
            <w:gridSpan w:val="3"/>
            <w:shd w:val="clear" w:color="auto" w:fill="F2F2F2"/>
            <w:vAlign w:val="center"/>
          </w:tcPr>
          <w:p w14:paraId="163A544C" w14:textId="77777777" w:rsidR="00A26838" w:rsidRPr="00137840" w:rsidRDefault="00A26838" w:rsidP="00A26838">
            <w:pPr>
              <w:spacing w:line="276" w:lineRule="auto"/>
              <w:rPr>
                <w:b/>
                <w:sz w:val="22"/>
                <w:szCs w:val="22"/>
              </w:rPr>
            </w:pPr>
            <w:r w:rsidRPr="00137840">
              <w:rPr>
                <w:b/>
                <w:sz w:val="22"/>
                <w:szCs w:val="22"/>
              </w:rPr>
              <w:lastRenderedPageBreak/>
              <w:t xml:space="preserve">Professional Accreditations </w:t>
            </w:r>
            <w:r w:rsidR="004C2C61" w:rsidRPr="00137840">
              <w:rPr>
                <w:b/>
                <w:sz w:val="22"/>
                <w:szCs w:val="22"/>
              </w:rPr>
              <w:t xml:space="preserve">  </w:t>
            </w:r>
          </w:p>
        </w:tc>
      </w:tr>
      <w:tr w:rsidR="00A26838" w:rsidRPr="00137840" w14:paraId="482BD3A8" w14:textId="77777777" w:rsidTr="00BE60C2">
        <w:trPr>
          <w:trHeight w:val="603"/>
        </w:trPr>
        <w:tc>
          <w:tcPr>
            <w:tcW w:w="9450" w:type="dxa"/>
            <w:gridSpan w:val="3"/>
            <w:shd w:val="clear" w:color="auto" w:fill="auto"/>
          </w:tcPr>
          <w:p w14:paraId="3821149C" w14:textId="77777777" w:rsidR="00A26838" w:rsidRPr="00137840" w:rsidRDefault="00A26838" w:rsidP="00A26838">
            <w:pPr>
              <w:numPr>
                <w:ilvl w:val="0"/>
                <w:numId w:val="7"/>
              </w:numPr>
              <w:spacing w:line="276" w:lineRule="auto"/>
              <w:jc w:val="both"/>
              <w:rPr>
                <w:sz w:val="22"/>
                <w:szCs w:val="22"/>
              </w:rPr>
            </w:pPr>
            <w:r w:rsidRPr="00137840">
              <w:rPr>
                <w:sz w:val="22"/>
                <w:szCs w:val="22"/>
              </w:rPr>
              <w:t>Fellow (FCIArb)</w:t>
            </w:r>
            <w:r w:rsidR="001B7809" w:rsidRPr="00137840">
              <w:rPr>
                <w:sz w:val="22"/>
                <w:szCs w:val="22"/>
              </w:rPr>
              <w:t>- International Arbitration</w:t>
            </w:r>
            <w:r w:rsidRPr="00137840">
              <w:rPr>
                <w:sz w:val="22"/>
                <w:szCs w:val="22"/>
              </w:rPr>
              <w:t>: Chartered Institute of Arbitrators, U.K.</w:t>
            </w:r>
          </w:p>
          <w:p w14:paraId="68207ECF" w14:textId="77777777" w:rsidR="006F3564" w:rsidRPr="00137840" w:rsidRDefault="00B035DF" w:rsidP="006F3564">
            <w:pPr>
              <w:numPr>
                <w:ilvl w:val="0"/>
                <w:numId w:val="7"/>
              </w:numPr>
              <w:spacing w:line="276" w:lineRule="auto"/>
              <w:jc w:val="both"/>
              <w:rPr>
                <w:sz w:val="22"/>
                <w:szCs w:val="22"/>
              </w:rPr>
            </w:pPr>
            <w:r w:rsidRPr="00137840">
              <w:rPr>
                <w:sz w:val="22"/>
                <w:szCs w:val="22"/>
              </w:rPr>
              <w:t>IMI Qualified</w:t>
            </w:r>
            <w:r w:rsidR="009C14F8" w:rsidRPr="00137840">
              <w:rPr>
                <w:sz w:val="22"/>
                <w:szCs w:val="22"/>
              </w:rPr>
              <w:t xml:space="preserve"> Mediator</w:t>
            </w:r>
            <w:r w:rsidRPr="00137840">
              <w:rPr>
                <w:sz w:val="22"/>
                <w:szCs w:val="22"/>
              </w:rPr>
              <w:t xml:space="preserve">- </w:t>
            </w:r>
            <w:r w:rsidR="001B7809" w:rsidRPr="00137840">
              <w:rPr>
                <w:sz w:val="22"/>
                <w:szCs w:val="22"/>
              </w:rPr>
              <w:t>International Mediation Institute</w:t>
            </w:r>
            <w:r w:rsidR="009C14F8" w:rsidRPr="00137840">
              <w:rPr>
                <w:sz w:val="22"/>
                <w:szCs w:val="22"/>
              </w:rPr>
              <w:t>, U</w:t>
            </w:r>
            <w:r w:rsidR="00B92088" w:rsidRPr="00137840">
              <w:rPr>
                <w:sz w:val="22"/>
                <w:szCs w:val="22"/>
              </w:rPr>
              <w:t>.</w:t>
            </w:r>
            <w:r w:rsidR="009C14F8" w:rsidRPr="00137840">
              <w:rPr>
                <w:sz w:val="22"/>
                <w:szCs w:val="22"/>
              </w:rPr>
              <w:t>K</w:t>
            </w:r>
            <w:r w:rsidR="00B92088" w:rsidRPr="00137840">
              <w:rPr>
                <w:sz w:val="22"/>
                <w:szCs w:val="22"/>
              </w:rPr>
              <w:t>.</w:t>
            </w:r>
            <w:r w:rsidR="009C14F8" w:rsidRPr="00137840">
              <w:rPr>
                <w:sz w:val="22"/>
                <w:szCs w:val="22"/>
              </w:rPr>
              <w:t xml:space="preserve"> </w:t>
            </w:r>
          </w:p>
          <w:p w14:paraId="41ADB8BF" w14:textId="77777777" w:rsidR="005D2C76" w:rsidRPr="00137840" w:rsidRDefault="00885DCA" w:rsidP="006F3564">
            <w:pPr>
              <w:numPr>
                <w:ilvl w:val="0"/>
                <w:numId w:val="7"/>
              </w:numPr>
              <w:spacing w:line="276" w:lineRule="auto"/>
              <w:jc w:val="both"/>
              <w:rPr>
                <w:sz w:val="22"/>
                <w:szCs w:val="22"/>
              </w:rPr>
            </w:pPr>
            <w:r w:rsidRPr="00137840">
              <w:rPr>
                <w:sz w:val="22"/>
                <w:szCs w:val="22"/>
              </w:rPr>
              <w:t xml:space="preserve">PDSL Qualified </w:t>
            </w:r>
            <w:r w:rsidR="006F3564" w:rsidRPr="00137840">
              <w:rPr>
                <w:sz w:val="22"/>
                <w:szCs w:val="22"/>
              </w:rPr>
              <w:t xml:space="preserve">Mediator- </w:t>
            </w:r>
            <w:r w:rsidRPr="00137840">
              <w:rPr>
                <w:sz w:val="22"/>
                <w:szCs w:val="22"/>
              </w:rPr>
              <w:t>Phoenix Dispute Solutions Limited, U</w:t>
            </w:r>
            <w:r w:rsidR="00B92088" w:rsidRPr="00137840">
              <w:rPr>
                <w:sz w:val="22"/>
                <w:szCs w:val="22"/>
              </w:rPr>
              <w:t>.</w:t>
            </w:r>
            <w:r w:rsidRPr="00137840">
              <w:rPr>
                <w:sz w:val="22"/>
                <w:szCs w:val="22"/>
              </w:rPr>
              <w:t>K</w:t>
            </w:r>
            <w:r w:rsidR="006F3564" w:rsidRPr="00137840">
              <w:rPr>
                <w:sz w:val="22"/>
                <w:szCs w:val="22"/>
              </w:rPr>
              <w:t xml:space="preserve">. </w:t>
            </w:r>
          </w:p>
          <w:p w14:paraId="4095404B" w14:textId="77777777" w:rsidR="00A26838" w:rsidRPr="00137840" w:rsidRDefault="00A26838" w:rsidP="00A26838">
            <w:pPr>
              <w:numPr>
                <w:ilvl w:val="0"/>
                <w:numId w:val="7"/>
              </w:numPr>
              <w:spacing w:line="276" w:lineRule="auto"/>
              <w:jc w:val="both"/>
              <w:rPr>
                <w:sz w:val="22"/>
                <w:szCs w:val="22"/>
              </w:rPr>
            </w:pPr>
            <w:r w:rsidRPr="00137840">
              <w:rPr>
                <w:sz w:val="22"/>
                <w:szCs w:val="22"/>
              </w:rPr>
              <w:t>Certified Compliance &amp; Ethics Professional-International (CCEP-</w:t>
            </w:r>
            <w:proofErr w:type="gramStart"/>
            <w:r w:rsidRPr="00137840">
              <w:rPr>
                <w:sz w:val="22"/>
                <w:szCs w:val="22"/>
              </w:rPr>
              <w:t>I)®</w:t>
            </w:r>
            <w:proofErr w:type="gramEnd"/>
          </w:p>
          <w:p w14:paraId="01FC53E9" w14:textId="77777777" w:rsidR="009C14F8" w:rsidRPr="00137840" w:rsidRDefault="009C14F8" w:rsidP="008366D8">
            <w:pPr>
              <w:spacing w:line="276" w:lineRule="auto"/>
              <w:jc w:val="both"/>
              <w:rPr>
                <w:sz w:val="22"/>
                <w:szCs w:val="22"/>
              </w:rPr>
            </w:pPr>
          </w:p>
        </w:tc>
      </w:tr>
      <w:tr w:rsidR="00A26838" w:rsidRPr="00137840" w14:paraId="0F378B02" w14:textId="77777777" w:rsidTr="00BE60C2">
        <w:trPr>
          <w:trHeight w:val="449"/>
        </w:trPr>
        <w:tc>
          <w:tcPr>
            <w:tcW w:w="9450" w:type="dxa"/>
            <w:gridSpan w:val="3"/>
            <w:shd w:val="clear" w:color="auto" w:fill="F2F2F2"/>
            <w:vAlign w:val="center"/>
          </w:tcPr>
          <w:p w14:paraId="5463AED9" w14:textId="06C45AE9" w:rsidR="00A26838" w:rsidRPr="00137840" w:rsidRDefault="00A26838" w:rsidP="00A26838">
            <w:pPr>
              <w:spacing w:line="276" w:lineRule="auto"/>
              <w:jc w:val="both"/>
              <w:rPr>
                <w:sz w:val="22"/>
                <w:szCs w:val="22"/>
              </w:rPr>
            </w:pPr>
            <w:r w:rsidRPr="00137840">
              <w:rPr>
                <w:b/>
                <w:sz w:val="22"/>
                <w:szCs w:val="22"/>
              </w:rPr>
              <w:t xml:space="preserve">ADR/Professional Experience </w:t>
            </w:r>
          </w:p>
        </w:tc>
      </w:tr>
      <w:tr w:rsidR="00137840" w:rsidRPr="00137840" w14:paraId="5502E148" w14:textId="77777777" w:rsidTr="00BE60C2">
        <w:trPr>
          <w:trHeight w:val="620"/>
        </w:trPr>
        <w:tc>
          <w:tcPr>
            <w:tcW w:w="9450" w:type="dxa"/>
            <w:gridSpan w:val="3"/>
            <w:shd w:val="clear" w:color="auto" w:fill="auto"/>
          </w:tcPr>
          <w:p w14:paraId="6E13629B" w14:textId="77777777" w:rsidR="00137840" w:rsidRPr="008366D8" w:rsidRDefault="00137840" w:rsidP="00F671E0">
            <w:pPr>
              <w:numPr>
                <w:ilvl w:val="0"/>
                <w:numId w:val="11"/>
              </w:numPr>
              <w:spacing w:line="276" w:lineRule="auto"/>
              <w:jc w:val="both"/>
              <w:rPr>
                <w:b/>
                <w:bCs/>
                <w:color w:val="000000" w:themeColor="text1"/>
                <w:sz w:val="22"/>
                <w:szCs w:val="22"/>
              </w:rPr>
            </w:pPr>
            <w:r w:rsidRPr="008366D8">
              <w:rPr>
                <w:b/>
                <w:bCs/>
                <w:color w:val="000000" w:themeColor="text1"/>
                <w:sz w:val="22"/>
                <w:szCs w:val="22"/>
              </w:rPr>
              <w:t>US</w:t>
            </w:r>
            <w:r w:rsidRPr="008366D8">
              <w:rPr>
                <w:b/>
                <w:bCs/>
                <w:color w:val="000000" w:themeColor="text1"/>
                <w:sz w:val="22"/>
                <w:szCs w:val="22"/>
                <w:shd w:val="clear" w:color="auto" w:fill="FFFFFF"/>
              </w:rPr>
              <w:t>$ 150 Million damages claim arising from Distribution/Agency Contract termination</w:t>
            </w:r>
            <w:r w:rsidRPr="008366D8">
              <w:rPr>
                <w:b/>
                <w:bCs/>
                <w:color w:val="000000" w:themeColor="text1"/>
                <w:sz w:val="22"/>
                <w:szCs w:val="22"/>
              </w:rPr>
              <w:t>:</w:t>
            </w:r>
          </w:p>
          <w:p w14:paraId="78BAD3E9" w14:textId="5D453ABF" w:rsidR="00137840" w:rsidRPr="008366D8" w:rsidRDefault="00137840" w:rsidP="00F671E0">
            <w:pPr>
              <w:numPr>
                <w:ilvl w:val="0"/>
                <w:numId w:val="13"/>
              </w:numPr>
              <w:spacing w:line="276" w:lineRule="auto"/>
              <w:ind w:left="714" w:hanging="357"/>
              <w:jc w:val="both"/>
              <w:rPr>
                <w:color w:val="000000" w:themeColor="text1"/>
                <w:sz w:val="22"/>
                <w:szCs w:val="22"/>
              </w:rPr>
            </w:pPr>
            <w:r w:rsidRPr="008366D8">
              <w:rPr>
                <w:b/>
                <w:bCs/>
                <w:color w:val="000000" w:themeColor="text1"/>
                <w:sz w:val="22"/>
                <w:szCs w:val="22"/>
              </w:rPr>
              <w:t>Counsel/Legal Advisor</w:t>
            </w:r>
            <w:r w:rsidRPr="008366D8">
              <w:rPr>
                <w:color w:val="000000" w:themeColor="text1"/>
                <w:sz w:val="22"/>
                <w:szCs w:val="22"/>
              </w:rPr>
              <w:t xml:space="preserve"> acting for a manufacturer in connection with international mediation arising from allegedly wrongful termination of long-term distribution contract for markets of KSA, Kuwait and Bahrain</w:t>
            </w:r>
            <w:r w:rsidR="00651CA8">
              <w:rPr>
                <w:color w:val="000000" w:themeColor="text1"/>
                <w:sz w:val="22"/>
                <w:szCs w:val="22"/>
              </w:rPr>
              <w:t>.</w:t>
            </w:r>
          </w:p>
          <w:p w14:paraId="3260785F" w14:textId="77777777" w:rsidR="00137840" w:rsidRPr="008366D8" w:rsidRDefault="00137840" w:rsidP="00F671E0">
            <w:pPr>
              <w:jc w:val="both"/>
              <w:rPr>
                <w:b/>
                <w:bCs/>
                <w:color w:val="000000" w:themeColor="text1"/>
                <w:sz w:val="22"/>
                <w:szCs w:val="22"/>
              </w:rPr>
            </w:pPr>
          </w:p>
          <w:p w14:paraId="39F6AF8D" w14:textId="77777777" w:rsidR="00137840" w:rsidRPr="008366D8" w:rsidRDefault="00137840" w:rsidP="008366D8">
            <w:pPr>
              <w:ind w:left="294" w:hanging="294"/>
              <w:jc w:val="both"/>
              <w:rPr>
                <w:color w:val="000000" w:themeColor="text1"/>
                <w:sz w:val="22"/>
                <w:szCs w:val="22"/>
              </w:rPr>
            </w:pPr>
            <w:r w:rsidRPr="008366D8">
              <w:rPr>
                <w:b/>
                <w:bCs/>
                <w:color w:val="000000" w:themeColor="text1"/>
                <w:sz w:val="22"/>
                <w:szCs w:val="22"/>
              </w:rPr>
              <w:t xml:space="preserve">B] </w:t>
            </w:r>
            <w:r w:rsidRPr="008366D8">
              <w:rPr>
                <w:b/>
                <w:bCs/>
                <w:color w:val="000000" w:themeColor="text1"/>
                <w:sz w:val="22"/>
                <w:szCs w:val="22"/>
                <w:shd w:val="clear" w:color="auto" w:fill="FFFFFF"/>
              </w:rPr>
              <w:t xml:space="preserve">US$ 500 Million damages claim arising from </w:t>
            </w:r>
            <w:r w:rsidRPr="008366D8">
              <w:rPr>
                <w:b/>
                <w:bCs/>
                <w:color w:val="000000" w:themeColor="text1"/>
                <w:sz w:val="22"/>
                <w:szCs w:val="22"/>
              </w:rPr>
              <w:t>Investor/State-Expropriation, fair and equitable treatment, umbrella clause:</w:t>
            </w:r>
          </w:p>
          <w:p w14:paraId="47B9824C" w14:textId="539AB71B" w:rsidR="00137840" w:rsidRPr="008366D8" w:rsidRDefault="00137840" w:rsidP="008366D8">
            <w:pPr>
              <w:numPr>
                <w:ilvl w:val="0"/>
                <w:numId w:val="17"/>
              </w:numPr>
              <w:ind w:left="719" w:hanging="359"/>
              <w:jc w:val="both"/>
              <w:rPr>
                <w:color w:val="000000" w:themeColor="text1"/>
                <w:sz w:val="22"/>
                <w:szCs w:val="22"/>
              </w:rPr>
            </w:pPr>
            <w:r w:rsidRPr="008366D8">
              <w:rPr>
                <w:b/>
                <w:bCs/>
                <w:color w:val="000000" w:themeColor="text1"/>
                <w:sz w:val="22"/>
                <w:szCs w:val="22"/>
                <w:shd w:val="clear" w:color="auto" w:fill="FFFFFF"/>
              </w:rPr>
              <w:lastRenderedPageBreak/>
              <w:t>Counsel/ Legal Advisor</w:t>
            </w:r>
            <w:r w:rsidRPr="008366D8">
              <w:rPr>
                <w:color w:val="000000" w:themeColor="text1"/>
                <w:sz w:val="22"/>
                <w:szCs w:val="22"/>
                <w:shd w:val="clear" w:color="auto" w:fill="FFFFFF"/>
              </w:rPr>
              <w:t xml:space="preserve"> acting for a manufacturer</w:t>
            </w:r>
            <w:r w:rsidRPr="008366D8">
              <w:rPr>
                <w:color w:val="000000" w:themeColor="text1"/>
                <w:sz w:val="22"/>
                <w:szCs w:val="22"/>
              </w:rPr>
              <w:t xml:space="preserve"> for tobacco manufacturer and owner of renown brands on </w:t>
            </w:r>
            <w:r w:rsidR="00AE5CC8">
              <w:rPr>
                <w:color w:val="000000" w:themeColor="text1"/>
                <w:sz w:val="22"/>
                <w:szCs w:val="22"/>
              </w:rPr>
              <w:t>i</w:t>
            </w:r>
            <w:r w:rsidRPr="008366D8">
              <w:rPr>
                <w:color w:val="000000" w:themeColor="text1"/>
                <w:sz w:val="22"/>
                <w:szCs w:val="22"/>
              </w:rPr>
              <w:t>nvestor</w:t>
            </w:r>
            <w:r w:rsidR="00AE5CC8">
              <w:rPr>
                <w:color w:val="000000" w:themeColor="text1"/>
                <w:sz w:val="22"/>
                <w:szCs w:val="22"/>
              </w:rPr>
              <w:t>-st</w:t>
            </w:r>
            <w:r w:rsidRPr="008366D8">
              <w:rPr>
                <w:color w:val="000000" w:themeColor="text1"/>
                <w:sz w:val="22"/>
                <w:szCs w:val="22"/>
              </w:rPr>
              <w:t xml:space="preserve">ate </w:t>
            </w:r>
            <w:r w:rsidR="00AE5CC8">
              <w:rPr>
                <w:color w:val="000000" w:themeColor="text1"/>
                <w:sz w:val="22"/>
                <w:szCs w:val="22"/>
              </w:rPr>
              <w:t>a</w:t>
            </w:r>
            <w:r w:rsidRPr="008366D8">
              <w:rPr>
                <w:color w:val="000000" w:themeColor="text1"/>
                <w:sz w:val="22"/>
                <w:szCs w:val="22"/>
              </w:rPr>
              <w:t>rbitration claims arising from breaches of “fair and equitable treatment standard” and de facto expropriation of trademark rights ($500M damages claim)</w:t>
            </w:r>
            <w:r w:rsidR="00651CA8">
              <w:rPr>
                <w:color w:val="000000" w:themeColor="text1"/>
                <w:sz w:val="22"/>
                <w:szCs w:val="22"/>
              </w:rPr>
              <w:t>.</w:t>
            </w:r>
          </w:p>
          <w:p w14:paraId="32C881CA" w14:textId="77777777" w:rsidR="00137840" w:rsidRPr="008366D8" w:rsidRDefault="00137840" w:rsidP="00F671E0">
            <w:pPr>
              <w:jc w:val="both"/>
              <w:rPr>
                <w:b/>
                <w:bCs/>
                <w:color w:val="000000" w:themeColor="text1"/>
                <w:sz w:val="22"/>
                <w:szCs w:val="22"/>
              </w:rPr>
            </w:pPr>
          </w:p>
          <w:p w14:paraId="5127F69A" w14:textId="77777777" w:rsidR="00137840" w:rsidRPr="008366D8" w:rsidRDefault="00137840" w:rsidP="008366D8">
            <w:pPr>
              <w:ind w:left="294" w:hanging="284"/>
              <w:jc w:val="both"/>
              <w:rPr>
                <w:b/>
                <w:bCs/>
                <w:color w:val="000000" w:themeColor="text1"/>
                <w:sz w:val="22"/>
                <w:szCs w:val="22"/>
              </w:rPr>
            </w:pPr>
            <w:r w:rsidRPr="008366D8">
              <w:rPr>
                <w:b/>
                <w:bCs/>
                <w:color w:val="000000" w:themeColor="text1"/>
                <w:sz w:val="22"/>
                <w:szCs w:val="22"/>
              </w:rPr>
              <w:t xml:space="preserve">C] </w:t>
            </w:r>
            <w:r w:rsidRPr="008366D8">
              <w:rPr>
                <w:b/>
                <w:bCs/>
                <w:color w:val="000000" w:themeColor="text1"/>
                <w:sz w:val="22"/>
                <w:szCs w:val="22"/>
                <w:shd w:val="clear" w:color="auto" w:fill="FFFFFF"/>
              </w:rPr>
              <w:t>US$ 1 Billion claim arising from Investor/State-Expropriation, fair and equitable treatment, umbrella clause</w:t>
            </w:r>
          </w:p>
          <w:p w14:paraId="7E78D009" w14:textId="7B44A54F" w:rsidR="00F671E0" w:rsidRPr="008366D8" w:rsidRDefault="00F671E0" w:rsidP="008366D8">
            <w:pPr>
              <w:spacing w:before="100" w:beforeAutospacing="1" w:after="100" w:afterAutospacing="1"/>
              <w:ind w:left="719" w:right="252" w:hanging="284"/>
              <w:jc w:val="both"/>
              <w:rPr>
                <w:color w:val="000000" w:themeColor="text1"/>
                <w:sz w:val="22"/>
                <w:szCs w:val="22"/>
              </w:rPr>
            </w:pPr>
            <w:r>
              <w:rPr>
                <w:color w:val="000000" w:themeColor="text1"/>
                <w:sz w:val="22"/>
                <w:szCs w:val="22"/>
                <w:shd w:val="clear" w:color="auto" w:fill="FFFFFF"/>
              </w:rPr>
              <w:t xml:space="preserve">1. </w:t>
            </w:r>
            <w:r w:rsidR="00137840" w:rsidRPr="008366D8">
              <w:rPr>
                <w:b/>
                <w:bCs/>
                <w:color w:val="000000" w:themeColor="text1"/>
                <w:sz w:val="22"/>
                <w:szCs w:val="22"/>
                <w:shd w:val="clear" w:color="auto" w:fill="FFFFFF"/>
              </w:rPr>
              <w:t>Counsel/ Legal Advisor</w:t>
            </w:r>
            <w:r w:rsidR="00137840" w:rsidRPr="008366D8">
              <w:rPr>
                <w:color w:val="000000" w:themeColor="text1"/>
                <w:sz w:val="22"/>
                <w:szCs w:val="22"/>
                <w:shd w:val="clear" w:color="auto" w:fill="FFFFFF"/>
              </w:rPr>
              <w:t xml:space="preserve"> acting for a manufacturer</w:t>
            </w:r>
            <w:r w:rsidR="00137840" w:rsidRPr="008366D8">
              <w:rPr>
                <w:color w:val="000000" w:themeColor="text1"/>
                <w:sz w:val="22"/>
                <w:szCs w:val="22"/>
              </w:rPr>
              <w:t xml:space="preserve"> on potential </w:t>
            </w:r>
            <w:r w:rsidR="00AE5CC8">
              <w:rPr>
                <w:color w:val="000000" w:themeColor="text1"/>
                <w:sz w:val="22"/>
                <w:szCs w:val="22"/>
              </w:rPr>
              <w:t>i</w:t>
            </w:r>
            <w:r w:rsidR="00137840" w:rsidRPr="008366D8">
              <w:rPr>
                <w:color w:val="000000" w:themeColor="text1"/>
                <w:sz w:val="22"/>
                <w:szCs w:val="22"/>
              </w:rPr>
              <w:t>nvestor</w:t>
            </w:r>
            <w:r w:rsidR="00AE5CC8">
              <w:rPr>
                <w:color w:val="000000" w:themeColor="text1"/>
                <w:sz w:val="22"/>
                <w:szCs w:val="22"/>
              </w:rPr>
              <w:t>-s</w:t>
            </w:r>
            <w:r w:rsidR="00137840" w:rsidRPr="008366D8">
              <w:rPr>
                <w:color w:val="000000" w:themeColor="text1"/>
                <w:sz w:val="22"/>
                <w:szCs w:val="22"/>
              </w:rPr>
              <w:t xml:space="preserve">tate </w:t>
            </w:r>
            <w:r w:rsidR="00AE5CC8">
              <w:rPr>
                <w:color w:val="000000" w:themeColor="text1"/>
                <w:sz w:val="22"/>
                <w:szCs w:val="22"/>
              </w:rPr>
              <w:t>a</w:t>
            </w:r>
            <w:r w:rsidR="00137840" w:rsidRPr="008366D8">
              <w:rPr>
                <w:color w:val="000000" w:themeColor="text1"/>
                <w:sz w:val="22"/>
                <w:szCs w:val="22"/>
              </w:rPr>
              <w:t xml:space="preserve">rbitration </w:t>
            </w:r>
            <w:r w:rsidR="00AE5CC8">
              <w:rPr>
                <w:color w:val="000000" w:themeColor="text1"/>
                <w:sz w:val="22"/>
                <w:szCs w:val="22"/>
              </w:rPr>
              <w:t>c</w:t>
            </w:r>
            <w:r w:rsidR="00137840" w:rsidRPr="008366D8">
              <w:rPr>
                <w:color w:val="000000" w:themeColor="text1"/>
                <w:sz w:val="22"/>
                <w:szCs w:val="22"/>
              </w:rPr>
              <w:t xml:space="preserve">laims arising from umbrella clause and breach of “fair and equitable treatment standard” in connection with alleged breach of condition in connection with $1Bn purchase of privatized State monopoly. </w:t>
            </w:r>
          </w:p>
          <w:p w14:paraId="1055A4D5" w14:textId="77777777" w:rsidR="00137840" w:rsidRPr="008366D8" w:rsidRDefault="00137840" w:rsidP="00F671E0">
            <w:pPr>
              <w:spacing w:line="276" w:lineRule="auto"/>
              <w:jc w:val="both"/>
              <w:rPr>
                <w:b/>
                <w:bCs/>
                <w:color w:val="000000" w:themeColor="text1"/>
                <w:sz w:val="22"/>
                <w:szCs w:val="22"/>
              </w:rPr>
            </w:pPr>
            <w:r w:rsidRPr="008366D8">
              <w:rPr>
                <w:b/>
                <w:bCs/>
                <w:color w:val="000000" w:themeColor="text1"/>
                <w:sz w:val="22"/>
                <w:szCs w:val="22"/>
              </w:rPr>
              <w:t>D US$ 5M claim arising from the termination of a joint venture contract:</w:t>
            </w:r>
          </w:p>
          <w:p w14:paraId="40A13182" w14:textId="4EDA4C95" w:rsidR="00137840" w:rsidRPr="008366D8" w:rsidRDefault="00137840" w:rsidP="00F671E0">
            <w:pPr>
              <w:numPr>
                <w:ilvl w:val="0"/>
                <w:numId w:val="14"/>
              </w:numPr>
              <w:spacing w:line="276" w:lineRule="auto"/>
              <w:ind w:left="714" w:hanging="357"/>
              <w:jc w:val="both"/>
              <w:rPr>
                <w:color w:val="000000" w:themeColor="text1"/>
                <w:sz w:val="22"/>
                <w:szCs w:val="22"/>
              </w:rPr>
            </w:pPr>
            <w:r w:rsidRPr="008366D8">
              <w:rPr>
                <w:b/>
                <w:bCs/>
                <w:color w:val="000000" w:themeColor="text1"/>
                <w:sz w:val="22"/>
                <w:szCs w:val="22"/>
              </w:rPr>
              <w:t>Counsel/ Legal Advisor</w:t>
            </w:r>
            <w:r w:rsidRPr="008366D8">
              <w:rPr>
                <w:color w:val="000000" w:themeColor="text1"/>
                <w:sz w:val="22"/>
                <w:szCs w:val="22"/>
              </w:rPr>
              <w:t xml:space="preserve"> acting for Spanish designer and builder of Outdoor Recreational Installations on potential domestic arbitration proceedings in connection with claims arising from alleged wrongful termination of joint venture </w:t>
            </w:r>
            <w:r w:rsidR="00651CA8" w:rsidRPr="00651CA8">
              <w:rPr>
                <w:color w:val="000000" w:themeColor="text1"/>
                <w:sz w:val="22"/>
                <w:szCs w:val="22"/>
              </w:rPr>
              <w:t>contract.</w:t>
            </w:r>
            <w:r w:rsidRPr="008366D8">
              <w:rPr>
                <w:color w:val="000000" w:themeColor="text1"/>
                <w:sz w:val="22"/>
                <w:szCs w:val="22"/>
              </w:rPr>
              <w:t xml:space="preserve"> </w:t>
            </w:r>
          </w:p>
          <w:p w14:paraId="02F50F90" w14:textId="77777777" w:rsidR="00137840" w:rsidRPr="008366D8" w:rsidRDefault="00137840" w:rsidP="00F671E0">
            <w:pPr>
              <w:spacing w:line="276" w:lineRule="auto"/>
              <w:jc w:val="both"/>
              <w:rPr>
                <w:b/>
                <w:bCs/>
                <w:color w:val="000000" w:themeColor="text1"/>
                <w:sz w:val="22"/>
                <w:szCs w:val="22"/>
              </w:rPr>
            </w:pPr>
          </w:p>
          <w:p w14:paraId="0E62B7CB" w14:textId="77777777" w:rsidR="00137840" w:rsidRPr="008366D8" w:rsidRDefault="00137840" w:rsidP="00F671E0">
            <w:pPr>
              <w:spacing w:line="276" w:lineRule="auto"/>
              <w:jc w:val="both"/>
              <w:rPr>
                <w:b/>
                <w:bCs/>
                <w:color w:val="000000" w:themeColor="text1"/>
                <w:sz w:val="22"/>
                <w:szCs w:val="22"/>
              </w:rPr>
            </w:pPr>
            <w:r w:rsidRPr="008366D8">
              <w:rPr>
                <w:b/>
                <w:bCs/>
                <w:color w:val="000000" w:themeColor="text1"/>
                <w:sz w:val="22"/>
                <w:szCs w:val="22"/>
              </w:rPr>
              <w:t>E] US$ 8M claim arising from the termination of a partnership agreement:</w:t>
            </w:r>
          </w:p>
          <w:p w14:paraId="7C31AE3A" w14:textId="77777777" w:rsidR="00137840" w:rsidRPr="008366D8" w:rsidRDefault="00137840" w:rsidP="00F671E0">
            <w:pPr>
              <w:numPr>
                <w:ilvl w:val="0"/>
                <w:numId w:val="14"/>
              </w:numPr>
              <w:spacing w:line="276" w:lineRule="auto"/>
              <w:ind w:left="714" w:hanging="357"/>
              <w:jc w:val="both"/>
              <w:rPr>
                <w:color w:val="000000" w:themeColor="text1"/>
                <w:sz w:val="22"/>
                <w:szCs w:val="22"/>
              </w:rPr>
            </w:pPr>
            <w:r w:rsidRPr="008366D8">
              <w:rPr>
                <w:b/>
                <w:bCs/>
                <w:color w:val="000000" w:themeColor="text1"/>
                <w:sz w:val="22"/>
                <w:szCs w:val="22"/>
              </w:rPr>
              <w:t>Counsel/ Legal Advisor</w:t>
            </w:r>
            <w:r w:rsidRPr="008366D8">
              <w:rPr>
                <w:color w:val="000000" w:themeColor="text1"/>
                <w:sz w:val="22"/>
                <w:szCs w:val="22"/>
              </w:rPr>
              <w:t xml:space="preserve"> acting for Spanish company, designer, and manufacturer of water purification systems on potential Ad Hoc international arbitration proceedings, in connection with claims on account of wrongful termination of agreement with Egyptian partner.</w:t>
            </w:r>
          </w:p>
          <w:p w14:paraId="18F5E2DB" w14:textId="77777777" w:rsidR="00137840" w:rsidRPr="008366D8" w:rsidRDefault="00137840" w:rsidP="00F671E0">
            <w:pPr>
              <w:spacing w:line="276" w:lineRule="auto"/>
              <w:jc w:val="both"/>
              <w:rPr>
                <w:b/>
                <w:bCs/>
                <w:color w:val="000000" w:themeColor="text1"/>
                <w:sz w:val="22"/>
                <w:szCs w:val="22"/>
              </w:rPr>
            </w:pPr>
          </w:p>
          <w:p w14:paraId="2C0CA1BC" w14:textId="02697A5B" w:rsidR="00137840" w:rsidRPr="008366D8" w:rsidRDefault="00137840" w:rsidP="00F671E0">
            <w:pPr>
              <w:spacing w:line="276" w:lineRule="auto"/>
              <w:jc w:val="both"/>
              <w:rPr>
                <w:b/>
                <w:bCs/>
                <w:color w:val="000000" w:themeColor="text1"/>
                <w:sz w:val="22"/>
                <w:szCs w:val="22"/>
              </w:rPr>
            </w:pPr>
            <w:r w:rsidRPr="008366D8">
              <w:rPr>
                <w:b/>
                <w:bCs/>
                <w:color w:val="000000" w:themeColor="text1"/>
                <w:sz w:val="22"/>
                <w:szCs w:val="22"/>
              </w:rPr>
              <w:t>F] US</w:t>
            </w:r>
            <w:r w:rsidRPr="008366D8">
              <w:rPr>
                <w:color w:val="000000" w:themeColor="text1"/>
                <w:sz w:val="22"/>
                <w:szCs w:val="22"/>
              </w:rPr>
              <w:t xml:space="preserve">$ </w:t>
            </w:r>
            <w:r w:rsidRPr="008366D8">
              <w:rPr>
                <w:b/>
                <w:bCs/>
                <w:color w:val="000000" w:themeColor="text1"/>
                <w:sz w:val="22"/>
                <w:szCs w:val="22"/>
              </w:rPr>
              <w:t xml:space="preserve">50M </w:t>
            </w:r>
            <w:r w:rsidR="00F671E0" w:rsidRPr="00F671E0">
              <w:rPr>
                <w:b/>
                <w:bCs/>
                <w:color w:val="000000" w:themeColor="text1"/>
                <w:sz w:val="22"/>
                <w:szCs w:val="22"/>
              </w:rPr>
              <w:t>claim arising</w:t>
            </w:r>
            <w:r w:rsidRPr="008366D8">
              <w:rPr>
                <w:b/>
                <w:bCs/>
                <w:color w:val="000000" w:themeColor="text1"/>
                <w:sz w:val="22"/>
                <w:szCs w:val="22"/>
              </w:rPr>
              <w:t xml:space="preserve"> from procedural issues, default, and annulment:</w:t>
            </w:r>
          </w:p>
          <w:p w14:paraId="7BA56948" w14:textId="179CEAEA" w:rsidR="00137840" w:rsidRPr="008366D8" w:rsidRDefault="00137840" w:rsidP="00F671E0">
            <w:pPr>
              <w:numPr>
                <w:ilvl w:val="0"/>
                <w:numId w:val="15"/>
              </w:numPr>
              <w:spacing w:line="276" w:lineRule="auto"/>
              <w:jc w:val="both"/>
              <w:rPr>
                <w:color w:val="000000" w:themeColor="text1"/>
                <w:sz w:val="22"/>
                <w:szCs w:val="22"/>
              </w:rPr>
            </w:pPr>
            <w:r w:rsidRPr="008366D8">
              <w:rPr>
                <w:b/>
                <w:bCs/>
                <w:color w:val="000000" w:themeColor="text1"/>
                <w:sz w:val="22"/>
                <w:szCs w:val="22"/>
              </w:rPr>
              <w:t>Counsel/ Legal Advisor</w:t>
            </w:r>
            <w:r w:rsidRPr="008366D8">
              <w:rPr>
                <w:color w:val="000000" w:themeColor="text1"/>
                <w:sz w:val="22"/>
                <w:szCs w:val="22"/>
              </w:rPr>
              <w:t xml:space="preserve"> acting for joint venture partner based in Peru providing legal assessment of possible annulment proceedings to set aside ICC Arbitral award due to claimant´s default arising from lack of adequate funding</w:t>
            </w:r>
            <w:r w:rsidR="00651CA8">
              <w:rPr>
                <w:color w:val="000000" w:themeColor="text1"/>
                <w:sz w:val="22"/>
                <w:szCs w:val="22"/>
              </w:rPr>
              <w:t>.</w:t>
            </w:r>
          </w:p>
          <w:p w14:paraId="13C4F402" w14:textId="77777777" w:rsidR="00137840" w:rsidRPr="008366D8" w:rsidRDefault="00137840" w:rsidP="00F671E0">
            <w:pPr>
              <w:spacing w:line="276" w:lineRule="auto"/>
              <w:jc w:val="both"/>
              <w:rPr>
                <w:b/>
                <w:bCs/>
                <w:color w:val="000000" w:themeColor="text1"/>
                <w:sz w:val="22"/>
                <w:szCs w:val="22"/>
              </w:rPr>
            </w:pPr>
          </w:p>
          <w:p w14:paraId="05D1A628" w14:textId="77777777" w:rsidR="00137840" w:rsidRPr="008366D8" w:rsidRDefault="00137840" w:rsidP="00F671E0">
            <w:pPr>
              <w:spacing w:line="276" w:lineRule="auto"/>
              <w:jc w:val="both"/>
              <w:rPr>
                <w:b/>
                <w:bCs/>
                <w:color w:val="000000" w:themeColor="text1"/>
                <w:sz w:val="22"/>
                <w:szCs w:val="22"/>
              </w:rPr>
            </w:pPr>
            <w:r w:rsidRPr="008366D8">
              <w:rPr>
                <w:b/>
                <w:bCs/>
                <w:color w:val="000000" w:themeColor="text1"/>
                <w:sz w:val="22"/>
                <w:szCs w:val="22"/>
              </w:rPr>
              <w:t>E] WIPO Domain name dispute:</w:t>
            </w:r>
          </w:p>
          <w:p w14:paraId="56DFED33" w14:textId="49DC867A" w:rsidR="00137840" w:rsidRPr="008366D8" w:rsidRDefault="00137840" w:rsidP="00F671E0">
            <w:pPr>
              <w:numPr>
                <w:ilvl w:val="0"/>
                <w:numId w:val="16"/>
              </w:numPr>
              <w:spacing w:line="276" w:lineRule="auto"/>
              <w:jc w:val="both"/>
              <w:rPr>
                <w:color w:val="000000" w:themeColor="text1"/>
                <w:sz w:val="22"/>
                <w:szCs w:val="22"/>
              </w:rPr>
            </w:pPr>
            <w:r w:rsidRPr="008366D8">
              <w:rPr>
                <w:b/>
                <w:bCs/>
                <w:color w:val="000000" w:themeColor="text1"/>
                <w:sz w:val="22"/>
                <w:szCs w:val="22"/>
              </w:rPr>
              <w:t>Counsel/ Legal Advisor</w:t>
            </w:r>
            <w:r w:rsidRPr="008366D8">
              <w:rPr>
                <w:color w:val="000000" w:themeColor="text1"/>
                <w:sz w:val="22"/>
                <w:szCs w:val="22"/>
              </w:rPr>
              <w:t xml:space="preserve"> acting for Spanish subsidiary of well-known brand owner of alcoholic beverages in WIPO domain name dispute resolution proceedings</w:t>
            </w:r>
            <w:r w:rsidR="00651CA8">
              <w:rPr>
                <w:color w:val="000000" w:themeColor="text1"/>
                <w:sz w:val="22"/>
                <w:szCs w:val="22"/>
              </w:rPr>
              <w:t>.</w:t>
            </w:r>
            <w:r w:rsidRPr="008366D8">
              <w:rPr>
                <w:color w:val="000000" w:themeColor="text1"/>
                <w:sz w:val="22"/>
                <w:szCs w:val="22"/>
              </w:rPr>
              <w:t xml:space="preserve">  </w:t>
            </w:r>
          </w:p>
          <w:p w14:paraId="679B9EDB" w14:textId="77777777" w:rsidR="00137840" w:rsidRPr="008366D8" w:rsidRDefault="00137840" w:rsidP="00F671E0">
            <w:pPr>
              <w:spacing w:line="276" w:lineRule="auto"/>
              <w:jc w:val="both"/>
              <w:rPr>
                <w:b/>
                <w:bCs/>
                <w:color w:val="000000" w:themeColor="text1"/>
                <w:sz w:val="22"/>
                <w:szCs w:val="22"/>
              </w:rPr>
            </w:pPr>
          </w:p>
          <w:p w14:paraId="582A35E3" w14:textId="1306D120" w:rsidR="00137840" w:rsidRPr="008366D8" w:rsidRDefault="00137840" w:rsidP="00F671E0">
            <w:pPr>
              <w:spacing w:line="276" w:lineRule="auto"/>
              <w:jc w:val="both"/>
              <w:rPr>
                <w:b/>
                <w:bCs/>
                <w:color w:val="000000" w:themeColor="text1"/>
                <w:sz w:val="22"/>
                <w:szCs w:val="22"/>
              </w:rPr>
            </w:pPr>
            <w:r w:rsidRPr="008366D8">
              <w:rPr>
                <w:b/>
                <w:bCs/>
                <w:color w:val="000000" w:themeColor="text1"/>
                <w:sz w:val="22"/>
                <w:szCs w:val="22"/>
              </w:rPr>
              <w:t xml:space="preserve">F] Strategic advice on impact of SCOTUS ruling on Discovery </w:t>
            </w:r>
            <w:r w:rsidR="00F671E0" w:rsidRPr="00F671E0">
              <w:rPr>
                <w:b/>
                <w:bCs/>
                <w:color w:val="000000" w:themeColor="text1"/>
                <w:sz w:val="22"/>
                <w:szCs w:val="22"/>
              </w:rPr>
              <w:t>and Evidence</w:t>
            </w:r>
            <w:r w:rsidRPr="008366D8">
              <w:rPr>
                <w:b/>
                <w:bCs/>
                <w:color w:val="000000" w:themeColor="text1"/>
                <w:sz w:val="22"/>
                <w:szCs w:val="22"/>
              </w:rPr>
              <w:t xml:space="preserve"> in ADR:</w:t>
            </w:r>
          </w:p>
          <w:p w14:paraId="666228BE" w14:textId="77777777" w:rsidR="00137840" w:rsidRPr="008366D8" w:rsidRDefault="00137840" w:rsidP="00F671E0">
            <w:pPr>
              <w:numPr>
                <w:ilvl w:val="0"/>
                <w:numId w:val="23"/>
              </w:numPr>
              <w:spacing w:line="276" w:lineRule="auto"/>
              <w:jc w:val="both"/>
              <w:rPr>
                <w:color w:val="000000" w:themeColor="text1"/>
                <w:sz w:val="22"/>
                <w:szCs w:val="22"/>
              </w:rPr>
            </w:pPr>
            <w:r w:rsidRPr="008366D8">
              <w:rPr>
                <w:b/>
                <w:bCs/>
                <w:color w:val="000000" w:themeColor="text1"/>
                <w:sz w:val="22"/>
                <w:szCs w:val="22"/>
              </w:rPr>
              <w:t>Counsel/ Legal Advisor</w:t>
            </w:r>
            <w:r w:rsidRPr="008366D8">
              <w:rPr>
                <w:color w:val="000000" w:themeColor="text1"/>
                <w:sz w:val="22"/>
                <w:szCs w:val="22"/>
              </w:rPr>
              <w:t xml:space="preserve"> acting for various clients providing strategic advice and legal assessment of impact of June 2022 SCOTUS ruling on the availability of US discovery (28 US Code § 1782) in support of ongoing and contemplated international commercial arbitration proceedings. </w:t>
            </w:r>
          </w:p>
          <w:p w14:paraId="5CE84098" w14:textId="77777777" w:rsidR="00137840" w:rsidRPr="008366D8" w:rsidRDefault="00137840" w:rsidP="00F671E0">
            <w:pPr>
              <w:spacing w:line="276" w:lineRule="auto"/>
              <w:ind w:left="360"/>
              <w:jc w:val="both"/>
              <w:rPr>
                <w:color w:val="000000" w:themeColor="text1"/>
                <w:sz w:val="22"/>
                <w:szCs w:val="22"/>
              </w:rPr>
            </w:pPr>
          </w:p>
        </w:tc>
      </w:tr>
      <w:tr w:rsidR="00A26838" w:rsidRPr="00137840" w14:paraId="35439253" w14:textId="77777777" w:rsidTr="00BE60C2">
        <w:trPr>
          <w:trHeight w:val="449"/>
        </w:trPr>
        <w:tc>
          <w:tcPr>
            <w:tcW w:w="9450" w:type="dxa"/>
            <w:gridSpan w:val="3"/>
            <w:shd w:val="clear" w:color="auto" w:fill="F2F2F2"/>
            <w:vAlign w:val="center"/>
          </w:tcPr>
          <w:p w14:paraId="6A896DBB" w14:textId="77777777" w:rsidR="00A26838" w:rsidRPr="00137840" w:rsidRDefault="00A26838" w:rsidP="00A26838">
            <w:pPr>
              <w:spacing w:line="276" w:lineRule="auto"/>
              <w:rPr>
                <w:b/>
                <w:sz w:val="22"/>
                <w:szCs w:val="22"/>
              </w:rPr>
            </w:pPr>
            <w:r w:rsidRPr="00137840">
              <w:rPr>
                <w:b/>
                <w:sz w:val="22"/>
                <w:szCs w:val="22"/>
              </w:rPr>
              <w:lastRenderedPageBreak/>
              <w:t xml:space="preserve">Core Areas of </w:t>
            </w:r>
            <w:r w:rsidR="0042395D" w:rsidRPr="00137840">
              <w:rPr>
                <w:b/>
                <w:sz w:val="22"/>
                <w:szCs w:val="22"/>
              </w:rPr>
              <w:t xml:space="preserve">Commercial </w:t>
            </w:r>
            <w:r w:rsidRPr="00137840">
              <w:rPr>
                <w:b/>
                <w:sz w:val="22"/>
                <w:szCs w:val="22"/>
              </w:rPr>
              <w:t xml:space="preserve">Focus / Expertise </w:t>
            </w:r>
            <w:r w:rsidRPr="00137840">
              <w:rPr>
                <w:b/>
                <w:i/>
                <w:iCs/>
                <w:sz w:val="22"/>
                <w:szCs w:val="22"/>
              </w:rPr>
              <w:t>(indicative, not exhaustive)</w:t>
            </w:r>
          </w:p>
        </w:tc>
      </w:tr>
      <w:tr w:rsidR="00A26838" w:rsidRPr="00137840" w14:paraId="62DC1F2F" w14:textId="77777777" w:rsidTr="00BE60C2">
        <w:trPr>
          <w:trHeight w:val="701"/>
        </w:trPr>
        <w:tc>
          <w:tcPr>
            <w:tcW w:w="9450" w:type="dxa"/>
            <w:gridSpan w:val="3"/>
            <w:shd w:val="clear" w:color="auto" w:fill="auto"/>
          </w:tcPr>
          <w:p w14:paraId="7C514980" w14:textId="77777777" w:rsidR="00A26838" w:rsidRPr="00137840" w:rsidRDefault="00A26838" w:rsidP="00A26838">
            <w:pPr>
              <w:spacing w:line="276" w:lineRule="auto"/>
              <w:jc w:val="both"/>
              <w:rPr>
                <w:sz w:val="22"/>
                <w:szCs w:val="22"/>
              </w:rPr>
            </w:pPr>
            <w:r w:rsidRPr="00137840">
              <w:rPr>
                <w:sz w:val="22"/>
                <w:szCs w:val="22"/>
              </w:rPr>
              <w:t>1. Distribution, Supply,</w:t>
            </w:r>
            <w:r w:rsidR="0088483D" w:rsidRPr="00137840">
              <w:rPr>
                <w:sz w:val="22"/>
                <w:szCs w:val="22"/>
              </w:rPr>
              <w:t xml:space="preserve"> Agency</w:t>
            </w:r>
            <w:r w:rsidRPr="00137840">
              <w:rPr>
                <w:sz w:val="22"/>
                <w:szCs w:val="22"/>
              </w:rPr>
              <w:t xml:space="preserve">      </w:t>
            </w:r>
            <w:r w:rsidR="00E86DE6" w:rsidRPr="00137840">
              <w:rPr>
                <w:sz w:val="22"/>
                <w:szCs w:val="22"/>
              </w:rPr>
              <w:t xml:space="preserve"> </w:t>
            </w:r>
            <w:r w:rsidR="0088483D" w:rsidRPr="00137840">
              <w:rPr>
                <w:sz w:val="22"/>
                <w:szCs w:val="22"/>
              </w:rPr>
              <w:t xml:space="preserve">                   </w:t>
            </w:r>
            <w:r w:rsidRPr="00137840">
              <w:rPr>
                <w:sz w:val="22"/>
                <w:szCs w:val="22"/>
              </w:rPr>
              <w:t xml:space="preserve">4. </w:t>
            </w:r>
            <w:r w:rsidR="00C8472E" w:rsidRPr="00137840">
              <w:rPr>
                <w:sz w:val="22"/>
                <w:szCs w:val="22"/>
              </w:rPr>
              <w:t>Product liability</w:t>
            </w:r>
            <w:r w:rsidRPr="00137840">
              <w:rPr>
                <w:sz w:val="22"/>
                <w:szCs w:val="22"/>
              </w:rPr>
              <w:t xml:space="preserve">       7. Real estate/leasing</w:t>
            </w:r>
          </w:p>
          <w:p w14:paraId="557D9B0D" w14:textId="77777777" w:rsidR="00A26838" w:rsidRPr="00137840" w:rsidRDefault="00A26838" w:rsidP="00A26838">
            <w:pPr>
              <w:spacing w:line="276" w:lineRule="auto"/>
              <w:jc w:val="both"/>
              <w:rPr>
                <w:sz w:val="22"/>
                <w:szCs w:val="22"/>
              </w:rPr>
            </w:pPr>
            <w:r w:rsidRPr="00137840">
              <w:rPr>
                <w:sz w:val="22"/>
                <w:szCs w:val="22"/>
              </w:rPr>
              <w:t xml:space="preserve">2. International Sale of Goods                           </w:t>
            </w:r>
            <w:r w:rsidR="00E86DE6" w:rsidRPr="00137840">
              <w:rPr>
                <w:sz w:val="22"/>
                <w:szCs w:val="22"/>
              </w:rPr>
              <w:t xml:space="preserve"> </w:t>
            </w:r>
            <w:r w:rsidR="0088483D" w:rsidRPr="00137840">
              <w:rPr>
                <w:sz w:val="22"/>
                <w:szCs w:val="22"/>
              </w:rPr>
              <w:t xml:space="preserve"> </w:t>
            </w:r>
            <w:r w:rsidRPr="00137840">
              <w:rPr>
                <w:sz w:val="22"/>
                <w:szCs w:val="22"/>
              </w:rPr>
              <w:t>5. Corporate law</w:t>
            </w:r>
            <w:r w:rsidR="0088483D" w:rsidRPr="00137840">
              <w:rPr>
                <w:sz w:val="22"/>
                <w:szCs w:val="22"/>
              </w:rPr>
              <w:t xml:space="preserve"> </w:t>
            </w:r>
            <w:r w:rsidRPr="00137840">
              <w:rPr>
                <w:sz w:val="22"/>
                <w:szCs w:val="22"/>
              </w:rPr>
              <w:t xml:space="preserve">      </w:t>
            </w:r>
            <w:r w:rsidR="00E86DE6" w:rsidRPr="00137840">
              <w:rPr>
                <w:sz w:val="22"/>
                <w:szCs w:val="22"/>
              </w:rPr>
              <w:t xml:space="preserve"> </w:t>
            </w:r>
            <w:r w:rsidR="00C8472E" w:rsidRPr="00137840">
              <w:rPr>
                <w:sz w:val="22"/>
                <w:szCs w:val="22"/>
              </w:rPr>
              <w:t xml:space="preserve">  </w:t>
            </w:r>
            <w:r w:rsidRPr="00137840">
              <w:rPr>
                <w:sz w:val="22"/>
                <w:szCs w:val="22"/>
              </w:rPr>
              <w:t>8. Engineering/construction</w:t>
            </w:r>
          </w:p>
          <w:p w14:paraId="4EB21CC3" w14:textId="345E1A51" w:rsidR="00A26838" w:rsidRPr="00137840" w:rsidRDefault="00A26838" w:rsidP="00A26838">
            <w:pPr>
              <w:spacing w:line="276" w:lineRule="auto"/>
              <w:jc w:val="both"/>
              <w:rPr>
                <w:sz w:val="22"/>
                <w:szCs w:val="22"/>
              </w:rPr>
            </w:pPr>
            <w:r w:rsidRPr="00137840">
              <w:rPr>
                <w:sz w:val="22"/>
                <w:szCs w:val="22"/>
              </w:rPr>
              <w:t>3. Competition Law, Unfair competition</w:t>
            </w:r>
            <w:r w:rsidR="0088483D" w:rsidRPr="00137840">
              <w:rPr>
                <w:sz w:val="22"/>
                <w:szCs w:val="22"/>
              </w:rPr>
              <w:t xml:space="preserve">  </w:t>
            </w:r>
            <w:r w:rsidRPr="00137840">
              <w:rPr>
                <w:sz w:val="22"/>
                <w:szCs w:val="22"/>
              </w:rPr>
              <w:t xml:space="preserve">         </w:t>
            </w:r>
            <w:r w:rsidR="00E86DE6" w:rsidRPr="00137840">
              <w:rPr>
                <w:sz w:val="22"/>
                <w:szCs w:val="22"/>
              </w:rPr>
              <w:t xml:space="preserve"> </w:t>
            </w:r>
            <w:r w:rsidRPr="00137840">
              <w:rPr>
                <w:sz w:val="22"/>
                <w:szCs w:val="22"/>
              </w:rPr>
              <w:t xml:space="preserve">6. Trademark, IP      </w:t>
            </w:r>
            <w:r w:rsidR="0088483D" w:rsidRPr="00137840">
              <w:rPr>
                <w:sz w:val="22"/>
                <w:szCs w:val="22"/>
              </w:rPr>
              <w:t xml:space="preserve"> </w:t>
            </w:r>
            <w:r w:rsidR="00C8472E" w:rsidRPr="00137840">
              <w:rPr>
                <w:sz w:val="22"/>
                <w:szCs w:val="22"/>
              </w:rPr>
              <w:t xml:space="preserve">  </w:t>
            </w:r>
            <w:r w:rsidR="0042395D" w:rsidRPr="00137840">
              <w:rPr>
                <w:sz w:val="22"/>
                <w:szCs w:val="22"/>
              </w:rPr>
              <w:t xml:space="preserve"> </w:t>
            </w:r>
            <w:r w:rsidRPr="00137840">
              <w:rPr>
                <w:sz w:val="22"/>
                <w:szCs w:val="22"/>
              </w:rPr>
              <w:t>9. Insurance</w:t>
            </w:r>
          </w:p>
          <w:p w14:paraId="220632EB" w14:textId="77777777" w:rsidR="00A26838" w:rsidRPr="00137840" w:rsidRDefault="00A26838" w:rsidP="00A26838">
            <w:pPr>
              <w:spacing w:line="276" w:lineRule="auto"/>
              <w:jc w:val="both"/>
              <w:rPr>
                <w:sz w:val="22"/>
                <w:szCs w:val="22"/>
              </w:rPr>
            </w:pPr>
            <w:r w:rsidRPr="00137840">
              <w:rPr>
                <w:sz w:val="22"/>
                <w:szCs w:val="22"/>
              </w:rPr>
              <w:t xml:space="preserve"> </w:t>
            </w:r>
          </w:p>
        </w:tc>
      </w:tr>
      <w:tr w:rsidR="00A26838" w:rsidRPr="00137840" w14:paraId="2CE1352A" w14:textId="77777777" w:rsidTr="00BE60C2">
        <w:trPr>
          <w:trHeight w:val="449"/>
        </w:trPr>
        <w:tc>
          <w:tcPr>
            <w:tcW w:w="9450" w:type="dxa"/>
            <w:gridSpan w:val="3"/>
            <w:shd w:val="clear" w:color="auto" w:fill="F2F2F2"/>
            <w:vAlign w:val="center"/>
          </w:tcPr>
          <w:p w14:paraId="31A548A8" w14:textId="77777777" w:rsidR="00A26838" w:rsidRPr="00137840" w:rsidRDefault="00A26838" w:rsidP="00A26838">
            <w:pPr>
              <w:spacing w:line="276" w:lineRule="auto"/>
              <w:rPr>
                <w:b/>
                <w:sz w:val="22"/>
                <w:szCs w:val="22"/>
                <w:u w:val="single"/>
              </w:rPr>
            </w:pPr>
            <w:r w:rsidRPr="00137840">
              <w:rPr>
                <w:b/>
                <w:sz w:val="22"/>
                <w:szCs w:val="22"/>
              </w:rPr>
              <w:t>Publications</w:t>
            </w:r>
          </w:p>
        </w:tc>
      </w:tr>
      <w:tr w:rsidR="00A26838" w:rsidRPr="00137840" w14:paraId="7237CDAF" w14:textId="77777777" w:rsidTr="00BE60C2">
        <w:trPr>
          <w:trHeight w:val="701"/>
        </w:trPr>
        <w:tc>
          <w:tcPr>
            <w:tcW w:w="9450" w:type="dxa"/>
            <w:gridSpan w:val="3"/>
            <w:shd w:val="clear" w:color="auto" w:fill="auto"/>
          </w:tcPr>
          <w:p w14:paraId="56C167D2" w14:textId="735B7247" w:rsidR="00A7468A" w:rsidRPr="00137840" w:rsidRDefault="00A7468A" w:rsidP="00A7468A">
            <w:pPr>
              <w:numPr>
                <w:ilvl w:val="0"/>
                <w:numId w:val="3"/>
              </w:numPr>
              <w:spacing w:line="276" w:lineRule="auto"/>
              <w:jc w:val="both"/>
              <w:rPr>
                <w:color w:val="000000"/>
                <w:sz w:val="22"/>
                <w:szCs w:val="22"/>
              </w:rPr>
            </w:pPr>
            <w:r w:rsidRPr="008366D8">
              <w:rPr>
                <w:rFonts w:hint="eastAsia"/>
                <w:i/>
                <w:iCs/>
                <w:color w:val="000000"/>
                <w:sz w:val="22"/>
                <w:szCs w:val="22"/>
              </w:rPr>
              <w:t>Into the Future with Eyes Wide Open: Arbitration in the Digital Age</w:t>
            </w:r>
            <w:r w:rsidR="00651CA8">
              <w:rPr>
                <w:i/>
                <w:iCs/>
                <w:color w:val="000000"/>
                <w:sz w:val="22"/>
                <w:szCs w:val="22"/>
              </w:rPr>
              <w:t>,</w:t>
            </w:r>
            <w:r w:rsidRPr="008366D8">
              <w:rPr>
                <w:rFonts w:hint="eastAsia"/>
                <w:color w:val="000000"/>
                <w:sz w:val="22"/>
                <w:szCs w:val="22"/>
              </w:rPr>
              <w:t xml:space="preserve"> </w:t>
            </w:r>
            <w:bookmarkStart w:id="0" w:name="OLE_LINK1"/>
            <w:bookmarkStart w:id="1" w:name="OLE_LINK2"/>
            <w:r w:rsidRPr="008366D8">
              <w:rPr>
                <w:rFonts w:hint="eastAsia"/>
                <w:color w:val="000000"/>
                <w:sz w:val="22"/>
                <w:szCs w:val="22"/>
              </w:rPr>
              <w:t xml:space="preserve">The Journal of International Arbitration, Mediation and Dispute Management, </w:t>
            </w:r>
            <w:r w:rsidRPr="00137840">
              <w:rPr>
                <w:rFonts w:eastAsia="Times New Roman"/>
                <w:color w:val="000000"/>
                <w:sz w:val="22"/>
                <w:szCs w:val="22"/>
                <w:lang w:eastAsia="en-GB"/>
              </w:rPr>
              <w:t>CIArb, Issue 88.4 (</w:t>
            </w:r>
            <w:r w:rsidR="00E03FA2" w:rsidRPr="00137840">
              <w:rPr>
                <w:rFonts w:eastAsia="Times New Roman"/>
                <w:color w:val="000000"/>
                <w:sz w:val="22"/>
                <w:szCs w:val="22"/>
                <w:lang w:eastAsia="en-GB"/>
              </w:rPr>
              <w:t>November</w:t>
            </w:r>
            <w:r w:rsidRPr="00137840">
              <w:rPr>
                <w:rFonts w:eastAsia="Times New Roman"/>
                <w:color w:val="000000"/>
                <w:sz w:val="22"/>
                <w:szCs w:val="22"/>
                <w:lang w:eastAsia="en-GB"/>
              </w:rPr>
              <w:t xml:space="preserve"> 2022).</w:t>
            </w:r>
            <w:bookmarkEnd w:id="0"/>
            <w:bookmarkEnd w:id="1"/>
          </w:p>
          <w:p w14:paraId="54B8BBC7" w14:textId="14F8F89A" w:rsidR="00A7468A" w:rsidRPr="00A50F24" w:rsidRDefault="00A7468A" w:rsidP="00A7468A">
            <w:pPr>
              <w:numPr>
                <w:ilvl w:val="0"/>
                <w:numId w:val="3"/>
              </w:numPr>
              <w:spacing w:line="276" w:lineRule="auto"/>
              <w:jc w:val="both"/>
              <w:rPr>
                <w:color w:val="000000"/>
                <w:sz w:val="22"/>
                <w:szCs w:val="22"/>
                <w:lang w:val="es-ES"/>
              </w:rPr>
            </w:pPr>
            <w:r w:rsidRPr="00137840">
              <w:rPr>
                <w:rStyle w:val="Emphasis"/>
                <w:color w:val="000000"/>
                <w:spacing w:val="3"/>
                <w:sz w:val="22"/>
                <w:szCs w:val="22"/>
              </w:rPr>
              <w:t>AlixPartners LLP v. The Fund for Protection of Investors’ Rights in Foreign States</w:t>
            </w:r>
            <w:r w:rsidR="00651CA8">
              <w:rPr>
                <w:color w:val="000000"/>
                <w:spacing w:val="3"/>
                <w:sz w:val="22"/>
                <w:szCs w:val="22"/>
              </w:rPr>
              <w:t>:</w:t>
            </w:r>
            <w:r w:rsidR="00651CA8" w:rsidRPr="00137840">
              <w:rPr>
                <w:color w:val="000000"/>
                <w:spacing w:val="3"/>
                <w:sz w:val="22"/>
                <w:szCs w:val="22"/>
              </w:rPr>
              <w:t xml:space="preserve"> </w:t>
            </w:r>
            <w:r w:rsidR="00651CA8" w:rsidRPr="00A50F24">
              <w:rPr>
                <w:color w:val="000000"/>
                <w:spacing w:val="3"/>
                <w:sz w:val="22"/>
                <w:szCs w:val="22"/>
                <w:lang w:val="es-ES"/>
              </w:rPr>
              <w:t>El</w:t>
            </w:r>
            <w:r w:rsidRPr="00A50F24">
              <w:rPr>
                <w:color w:val="000000"/>
                <w:spacing w:val="3"/>
                <w:sz w:val="22"/>
                <w:szCs w:val="22"/>
                <w:lang w:val="es-ES"/>
              </w:rPr>
              <w:t xml:space="preserve"> futuro del “</w:t>
            </w:r>
            <w:proofErr w:type="spellStart"/>
            <w:r w:rsidRPr="00A50F24">
              <w:rPr>
                <w:color w:val="000000"/>
                <w:spacing w:val="3"/>
                <w:sz w:val="22"/>
                <w:szCs w:val="22"/>
                <w:lang w:val="es-ES"/>
              </w:rPr>
              <w:t>discovery</w:t>
            </w:r>
            <w:proofErr w:type="spellEnd"/>
            <w:r w:rsidRPr="00A50F24">
              <w:rPr>
                <w:color w:val="000000"/>
                <w:spacing w:val="3"/>
                <w:sz w:val="22"/>
                <w:szCs w:val="22"/>
                <w:lang w:val="es-ES"/>
              </w:rPr>
              <w:t>” en</w:t>
            </w:r>
            <w:r w:rsidRPr="00A50F24">
              <w:rPr>
                <w:sz w:val="22"/>
                <w:szCs w:val="22"/>
                <w:lang w:val="es-ES"/>
              </w:rPr>
              <w:t xml:space="preserve"> </w:t>
            </w:r>
            <w:r w:rsidR="00A50F24" w:rsidRPr="00A50F24">
              <w:rPr>
                <w:color w:val="000000"/>
                <w:spacing w:val="3"/>
                <w:sz w:val="22"/>
                <w:szCs w:val="22"/>
                <w:lang w:val="es-ES"/>
              </w:rPr>
              <w:t>EEUU</w:t>
            </w:r>
            <w:r w:rsidRPr="00A50F24">
              <w:rPr>
                <w:color w:val="000000"/>
                <w:spacing w:val="3"/>
                <w:sz w:val="22"/>
                <w:szCs w:val="22"/>
                <w:lang w:val="es-ES"/>
              </w:rPr>
              <w:t xml:space="preserve"> en apoyo al arbitraje internacional; </w:t>
            </w:r>
            <w:r w:rsidRPr="00A50F24">
              <w:rPr>
                <w:i/>
                <w:iCs/>
                <w:color w:val="000000"/>
                <w:spacing w:val="3"/>
                <w:sz w:val="22"/>
                <w:szCs w:val="22"/>
                <w:lang w:val="es-ES"/>
              </w:rPr>
              <w:t xml:space="preserve">CEA </w:t>
            </w:r>
            <w:r w:rsidRPr="00A50F24">
              <w:rPr>
                <w:i/>
                <w:iCs/>
                <w:color w:val="000000"/>
                <w:spacing w:val="3"/>
                <w:sz w:val="22"/>
                <w:szCs w:val="22"/>
              </w:rPr>
              <w:t>Spain Arbitration Review</w:t>
            </w:r>
            <w:r w:rsidRPr="00A50F24">
              <w:rPr>
                <w:color w:val="000000"/>
                <w:spacing w:val="3"/>
                <w:sz w:val="22"/>
                <w:szCs w:val="22"/>
              </w:rPr>
              <w:t xml:space="preserve"> </w:t>
            </w:r>
            <w:r w:rsidR="0042395D" w:rsidRPr="00A50F24">
              <w:rPr>
                <w:color w:val="000000"/>
                <w:spacing w:val="3"/>
                <w:sz w:val="22"/>
                <w:szCs w:val="22"/>
              </w:rPr>
              <w:t>(</w:t>
            </w:r>
            <w:r w:rsidR="00BC14F8" w:rsidRPr="00A50F24">
              <w:rPr>
                <w:color w:val="000000"/>
                <w:spacing w:val="3"/>
                <w:sz w:val="22"/>
                <w:szCs w:val="22"/>
              </w:rPr>
              <w:t>December</w:t>
            </w:r>
            <w:r w:rsidRPr="00A50F24">
              <w:rPr>
                <w:i/>
                <w:iCs/>
                <w:color w:val="000000"/>
                <w:spacing w:val="3"/>
                <w:sz w:val="22"/>
                <w:szCs w:val="22"/>
              </w:rPr>
              <w:t xml:space="preserve"> </w:t>
            </w:r>
            <w:r w:rsidRPr="00A50F24">
              <w:rPr>
                <w:rFonts w:eastAsia="Times New Roman"/>
                <w:color w:val="000000"/>
                <w:sz w:val="22"/>
                <w:szCs w:val="22"/>
                <w:lang w:eastAsia="en-GB"/>
              </w:rPr>
              <w:t>2022)</w:t>
            </w:r>
            <w:r w:rsidR="0042395D" w:rsidRPr="00A50F24">
              <w:rPr>
                <w:rFonts w:eastAsia="Times New Roman"/>
                <w:color w:val="000000"/>
                <w:sz w:val="22"/>
                <w:szCs w:val="22"/>
                <w:lang w:eastAsia="en-GB"/>
              </w:rPr>
              <w:t>.</w:t>
            </w:r>
          </w:p>
          <w:p w14:paraId="4E08AEFD" w14:textId="619EEFA3" w:rsidR="00A7468A" w:rsidRPr="00651CA8" w:rsidRDefault="001B7809" w:rsidP="00651CA8">
            <w:pPr>
              <w:numPr>
                <w:ilvl w:val="0"/>
                <w:numId w:val="3"/>
              </w:numPr>
              <w:spacing w:line="276" w:lineRule="auto"/>
              <w:jc w:val="both"/>
              <w:rPr>
                <w:i/>
                <w:iCs/>
                <w:color w:val="000000"/>
                <w:sz w:val="22"/>
                <w:szCs w:val="22"/>
              </w:rPr>
            </w:pPr>
            <w:r w:rsidRPr="00137840">
              <w:rPr>
                <w:i/>
                <w:iCs/>
                <w:color w:val="000000"/>
                <w:spacing w:val="3"/>
                <w:sz w:val="22"/>
                <w:szCs w:val="22"/>
              </w:rPr>
              <w:t>The future of US discovery in support of international arbitration- The US Supreme Court settles the debate over the reach of Section 1782</w:t>
            </w:r>
            <w:r w:rsidR="00651CA8">
              <w:rPr>
                <w:i/>
                <w:iCs/>
                <w:color w:val="000000"/>
                <w:sz w:val="22"/>
                <w:szCs w:val="22"/>
              </w:rPr>
              <w:t xml:space="preserve">, </w:t>
            </w:r>
            <w:r w:rsidR="00A7468A" w:rsidRPr="008366D8">
              <w:rPr>
                <w:rFonts w:hint="eastAsia"/>
                <w:color w:val="000000"/>
                <w:sz w:val="22"/>
                <w:szCs w:val="22"/>
              </w:rPr>
              <w:t xml:space="preserve">The Journal of International Arbitration, Mediation and Dispute Management, </w:t>
            </w:r>
            <w:r w:rsidR="00A7468A" w:rsidRPr="00651CA8">
              <w:rPr>
                <w:rFonts w:eastAsia="Times New Roman"/>
                <w:color w:val="000000"/>
                <w:sz w:val="22"/>
                <w:szCs w:val="22"/>
                <w:lang w:eastAsia="en-GB"/>
              </w:rPr>
              <w:t>CIArb, Issue 88.5 (</w:t>
            </w:r>
            <w:r w:rsidR="00E03FA2" w:rsidRPr="00651CA8">
              <w:rPr>
                <w:rFonts w:eastAsia="Times New Roman"/>
                <w:color w:val="000000"/>
                <w:sz w:val="22"/>
                <w:szCs w:val="22"/>
                <w:lang w:eastAsia="en-GB"/>
              </w:rPr>
              <w:t>February</w:t>
            </w:r>
            <w:r w:rsidR="00A7468A" w:rsidRPr="00651CA8">
              <w:rPr>
                <w:rFonts w:eastAsia="Times New Roman"/>
                <w:color w:val="000000"/>
                <w:sz w:val="22"/>
                <w:szCs w:val="22"/>
                <w:lang w:eastAsia="en-GB"/>
              </w:rPr>
              <w:t xml:space="preserve"> 202</w:t>
            </w:r>
            <w:r w:rsidR="00193659" w:rsidRPr="00651CA8">
              <w:rPr>
                <w:rFonts w:eastAsia="Times New Roman"/>
                <w:color w:val="000000"/>
                <w:sz w:val="22"/>
                <w:szCs w:val="22"/>
                <w:lang w:eastAsia="en-GB"/>
              </w:rPr>
              <w:t>3</w:t>
            </w:r>
            <w:r w:rsidR="00A7468A" w:rsidRPr="00651CA8">
              <w:rPr>
                <w:rFonts w:eastAsia="Times New Roman"/>
                <w:color w:val="000000"/>
                <w:sz w:val="22"/>
                <w:szCs w:val="22"/>
                <w:lang w:eastAsia="en-GB"/>
              </w:rPr>
              <w:t>).</w:t>
            </w:r>
          </w:p>
          <w:p w14:paraId="3E2DF6C1" w14:textId="77777777" w:rsidR="00A26838" w:rsidRPr="00137840" w:rsidRDefault="00A26838" w:rsidP="00A26838">
            <w:pPr>
              <w:numPr>
                <w:ilvl w:val="0"/>
                <w:numId w:val="3"/>
              </w:numPr>
              <w:spacing w:line="276" w:lineRule="auto"/>
              <w:jc w:val="both"/>
              <w:rPr>
                <w:sz w:val="22"/>
                <w:szCs w:val="22"/>
              </w:rPr>
            </w:pPr>
            <w:r w:rsidRPr="00137840">
              <w:rPr>
                <w:i/>
                <w:iCs/>
                <w:sz w:val="22"/>
                <w:szCs w:val="22"/>
              </w:rPr>
              <w:lastRenderedPageBreak/>
              <w:t>Tastes as good as it looks”: The Quality Function and Product Regulation</w:t>
            </w:r>
            <w:r w:rsidRPr="00137840">
              <w:rPr>
                <w:sz w:val="22"/>
                <w:szCs w:val="22"/>
              </w:rPr>
              <w:t>, ACC Docket March 2015</w:t>
            </w:r>
          </w:p>
          <w:p w14:paraId="04601199" w14:textId="77777777" w:rsidR="00A26838" w:rsidRPr="00137840" w:rsidRDefault="00A26838" w:rsidP="00FD140E">
            <w:pPr>
              <w:numPr>
                <w:ilvl w:val="0"/>
                <w:numId w:val="3"/>
              </w:numPr>
              <w:spacing w:line="276" w:lineRule="auto"/>
              <w:jc w:val="both"/>
              <w:rPr>
                <w:sz w:val="22"/>
                <w:szCs w:val="22"/>
              </w:rPr>
            </w:pPr>
            <w:r w:rsidRPr="00137840">
              <w:rPr>
                <w:i/>
                <w:iCs/>
                <w:sz w:val="22"/>
                <w:szCs w:val="22"/>
              </w:rPr>
              <w:t>Two Lawyers for the Price of One: Transnational Licensing in the EU for U.S. Practitioners</w:t>
            </w:r>
            <w:r w:rsidRPr="00137840">
              <w:rPr>
                <w:sz w:val="22"/>
                <w:szCs w:val="22"/>
              </w:rPr>
              <w:t>,” ACCA Docket 21, no. 6 (June 2003): 102–117.</w:t>
            </w:r>
          </w:p>
          <w:p w14:paraId="748FD8FF" w14:textId="184F8058" w:rsidR="00A26838" w:rsidRPr="00137840" w:rsidRDefault="00A26838" w:rsidP="00A26838">
            <w:pPr>
              <w:numPr>
                <w:ilvl w:val="0"/>
                <w:numId w:val="3"/>
              </w:numPr>
              <w:spacing w:line="276" w:lineRule="auto"/>
              <w:jc w:val="both"/>
              <w:rPr>
                <w:sz w:val="22"/>
                <w:szCs w:val="22"/>
              </w:rPr>
            </w:pPr>
            <w:r w:rsidRPr="00137840">
              <w:rPr>
                <w:sz w:val="22"/>
                <w:szCs w:val="22"/>
              </w:rPr>
              <w:t xml:space="preserve">Co-author with Patrick Thieffry and Philip Van </w:t>
            </w:r>
            <w:proofErr w:type="spellStart"/>
            <w:r w:rsidRPr="00137840">
              <w:rPr>
                <w:sz w:val="22"/>
                <w:szCs w:val="22"/>
              </w:rPr>
              <w:t>Doorn</w:t>
            </w:r>
            <w:proofErr w:type="spellEnd"/>
            <w:r w:rsidRPr="00137840">
              <w:rPr>
                <w:sz w:val="22"/>
                <w:szCs w:val="22"/>
              </w:rPr>
              <w:t>, "</w:t>
            </w:r>
            <w:r w:rsidRPr="00137840">
              <w:rPr>
                <w:i/>
                <w:iCs/>
                <w:sz w:val="22"/>
                <w:szCs w:val="22"/>
              </w:rPr>
              <w:t>The Notification of Mergers Under the E.E.C. Merger Control Regulation"</w:t>
            </w:r>
            <w:r w:rsidRPr="00137840">
              <w:rPr>
                <w:sz w:val="22"/>
                <w:szCs w:val="22"/>
              </w:rPr>
              <w:t xml:space="preserve">, 25 International Lawyer pp. 615 645 (1991). Republished </w:t>
            </w:r>
            <w:r w:rsidR="00A50F24" w:rsidRPr="00137840">
              <w:rPr>
                <w:sz w:val="22"/>
                <w:szCs w:val="22"/>
              </w:rPr>
              <w:t>as “</w:t>
            </w:r>
            <w:r w:rsidRPr="00137840">
              <w:rPr>
                <w:sz w:val="22"/>
                <w:szCs w:val="22"/>
              </w:rPr>
              <w:t xml:space="preserve">La notification au </w:t>
            </w:r>
            <w:proofErr w:type="spellStart"/>
            <w:r w:rsidRPr="00137840">
              <w:rPr>
                <w:sz w:val="22"/>
                <w:szCs w:val="22"/>
              </w:rPr>
              <w:t>titre</w:t>
            </w:r>
            <w:proofErr w:type="spellEnd"/>
            <w:r w:rsidRPr="00137840">
              <w:rPr>
                <w:sz w:val="22"/>
                <w:szCs w:val="22"/>
              </w:rPr>
              <w:t xml:space="preserve"> du </w:t>
            </w:r>
            <w:proofErr w:type="spellStart"/>
            <w:r w:rsidRPr="00137840">
              <w:rPr>
                <w:sz w:val="22"/>
                <w:szCs w:val="22"/>
              </w:rPr>
              <w:t>contrôle</w:t>
            </w:r>
            <w:proofErr w:type="spellEnd"/>
            <w:r w:rsidRPr="00137840">
              <w:rPr>
                <w:sz w:val="22"/>
                <w:szCs w:val="22"/>
              </w:rPr>
              <w:t xml:space="preserve"> </w:t>
            </w:r>
            <w:proofErr w:type="spellStart"/>
            <w:r w:rsidRPr="00137840">
              <w:rPr>
                <w:sz w:val="22"/>
                <w:szCs w:val="22"/>
              </w:rPr>
              <w:t>communautaire</w:t>
            </w:r>
            <w:proofErr w:type="spellEnd"/>
            <w:r w:rsidRPr="00137840">
              <w:rPr>
                <w:sz w:val="22"/>
                <w:szCs w:val="22"/>
              </w:rPr>
              <w:t xml:space="preserve"> des concentrations entre </w:t>
            </w:r>
            <w:proofErr w:type="spellStart"/>
            <w:r w:rsidRPr="00137840">
              <w:rPr>
                <w:sz w:val="22"/>
                <w:szCs w:val="22"/>
              </w:rPr>
              <w:t>entreprises</w:t>
            </w:r>
            <w:proofErr w:type="spellEnd"/>
            <w:r w:rsidRPr="00137840">
              <w:rPr>
                <w:sz w:val="22"/>
                <w:szCs w:val="22"/>
              </w:rPr>
              <w:t xml:space="preserve">” Revue du Marché Unique </w:t>
            </w:r>
            <w:proofErr w:type="spellStart"/>
            <w:r w:rsidRPr="00137840">
              <w:rPr>
                <w:sz w:val="22"/>
                <w:szCs w:val="22"/>
              </w:rPr>
              <w:t>Européen</w:t>
            </w:r>
            <w:proofErr w:type="spellEnd"/>
            <w:r w:rsidRPr="00137840">
              <w:rPr>
                <w:sz w:val="22"/>
                <w:szCs w:val="22"/>
              </w:rPr>
              <w:t>, n° 2, pp. 47-74. (1991).</w:t>
            </w:r>
          </w:p>
          <w:p w14:paraId="4D84943D" w14:textId="77777777" w:rsidR="00A26838" w:rsidRPr="00137840" w:rsidRDefault="00A26838" w:rsidP="007211F6">
            <w:pPr>
              <w:spacing w:line="276" w:lineRule="auto"/>
              <w:ind w:left="360"/>
              <w:jc w:val="both"/>
              <w:rPr>
                <w:sz w:val="22"/>
                <w:szCs w:val="22"/>
              </w:rPr>
            </w:pPr>
          </w:p>
        </w:tc>
      </w:tr>
      <w:tr w:rsidR="00A26838" w:rsidRPr="00137840" w14:paraId="1EBE65F8" w14:textId="77777777" w:rsidTr="00BE60C2">
        <w:trPr>
          <w:trHeight w:val="449"/>
        </w:trPr>
        <w:tc>
          <w:tcPr>
            <w:tcW w:w="9450" w:type="dxa"/>
            <w:gridSpan w:val="3"/>
            <w:shd w:val="clear" w:color="auto" w:fill="F2F2F2"/>
            <w:vAlign w:val="center"/>
          </w:tcPr>
          <w:p w14:paraId="61DAB77F" w14:textId="77777777" w:rsidR="00A26838" w:rsidRPr="00137840" w:rsidRDefault="00A26838" w:rsidP="00A26838">
            <w:pPr>
              <w:spacing w:line="276" w:lineRule="auto"/>
              <w:rPr>
                <w:b/>
                <w:sz w:val="22"/>
                <w:szCs w:val="22"/>
              </w:rPr>
            </w:pPr>
            <w:r w:rsidRPr="00137840">
              <w:rPr>
                <w:b/>
                <w:sz w:val="22"/>
                <w:szCs w:val="22"/>
              </w:rPr>
              <w:lastRenderedPageBreak/>
              <w:t xml:space="preserve">Speaking / Lecturer Engagements </w:t>
            </w:r>
          </w:p>
        </w:tc>
      </w:tr>
      <w:tr w:rsidR="00A26838" w:rsidRPr="00137840" w14:paraId="0F914F59" w14:textId="77777777" w:rsidTr="00BE60C2">
        <w:trPr>
          <w:trHeight w:val="603"/>
        </w:trPr>
        <w:tc>
          <w:tcPr>
            <w:tcW w:w="9450" w:type="dxa"/>
            <w:gridSpan w:val="3"/>
            <w:shd w:val="clear" w:color="auto" w:fill="auto"/>
          </w:tcPr>
          <w:p w14:paraId="095AA4FA" w14:textId="295C1F3A" w:rsidR="00F164C5" w:rsidRPr="00137840" w:rsidRDefault="008A51CC" w:rsidP="00F164C5">
            <w:pPr>
              <w:numPr>
                <w:ilvl w:val="0"/>
                <w:numId w:val="6"/>
              </w:numPr>
              <w:spacing w:line="276" w:lineRule="auto"/>
              <w:jc w:val="both"/>
              <w:rPr>
                <w:color w:val="000000"/>
                <w:sz w:val="22"/>
                <w:szCs w:val="22"/>
              </w:rPr>
            </w:pPr>
            <w:r w:rsidRPr="00137840">
              <w:rPr>
                <w:bCs/>
                <w:color w:val="000000"/>
                <w:sz w:val="22"/>
                <w:szCs w:val="22"/>
              </w:rPr>
              <w:t xml:space="preserve">CIArb Iberian Chapter Meets with Peter Nahmias on </w:t>
            </w:r>
            <w:proofErr w:type="gramStart"/>
            <w:r w:rsidR="00A26838" w:rsidRPr="00137840">
              <w:rPr>
                <w:i/>
                <w:iCs/>
                <w:color w:val="000000"/>
                <w:spacing w:val="3"/>
                <w:sz w:val="22"/>
                <w:szCs w:val="22"/>
              </w:rPr>
              <w:t>The</w:t>
            </w:r>
            <w:proofErr w:type="gramEnd"/>
            <w:r w:rsidR="00A26838" w:rsidRPr="00137840">
              <w:rPr>
                <w:i/>
                <w:iCs/>
                <w:color w:val="000000"/>
                <w:spacing w:val="3"/>
                <w:sz w:val="22"/>
                <w:szCs w:val="22"/>
              </w:rPr>
              <w:t xml:space="preserve"> future of US discovery in support of international arbitration- </w:t>
            </w:r>
            <w:r w:rsidR="001B7809" w:rsidRPr="00137840">
              <w:rPr>
                <w:i/>
                <w:iCs/>
                <w:color w:val="000000"/>
                <w:spacing w:val="3"/>
                <w:sz w:val="22"/>
                <w:szCs w:val="22"/>
              </w:rPr>
              <w:t>The</w:t>
            </w:r>
            <w:r w:rsidR="00A26838" w:rsidRPr="00137840">
              <w:rPr>
                <w:i/>
                <w:iCs/>
                <w:color w:val="000000"/>
                <w:spacing w:val="3"/>
                <w:sz w:val="22"/>
                <w:szCs w:val="22"/>
              </w:rPr>
              <w:t xml:space="preserve"> US Supreme Court settle</w:t>
            </w:r>
            <w:r w:rsidR="001B7809" w:rsidRPr="00137840">
              <w:rPr>
                <w:i/>
                <w:iCs/>
                <w:color w:val="000000"/>
                <w:spacing w:val="3"/>
                <w:sz w:val="22"/>
                <w:szCs w:val="22"/>
              </w:rPr>
              <w:t>s</w:t>
            </w:r>
            <w:r w:rsidR="00A26838" w:rsidRPr="00137840">
              <w:rPr>
                <w:i/>
                <w:iCs/>
                <w:color w:val="000000"/>
                <w:spacing w:val="3"/>
                <w:sz w:val="22"/>
                <w:szCs w:val="22"/>
              </w:rPr>
              <w:t xml:space="preserve"> the debate over the reach of Section 1782</w:t>
            </w:r>
            <w:r w:rsidRPr="00137840">
              <w:rPr>
                <w:i/>
                <w:iCs/>
                <w:color w:val="000000"/>
                <w:spacing w:val="3"/>
                <w:sz w:val="22"/>
                <w:szCs w:val="22"/>
              </w:rPr>
              <w:t>.</w:t>
            </w:r>
            <w:r w:rsidR="00A26838" w:rsidRPr="00137840">
              <w:rPr>
                <w:color w:val="000000"/>
                <w:spacing w:val="3"/>
                <w:sz w:val="22"/>
                <w:szCs w:val="22"/>
              </w:rPr>
              <w:t xml:space="preserve"> Webinar held by Iberian Chapter CIArb, Madrid, (July </w:t>
            </w:r>
            <w:r w:rsidR="008C734D" w:rsidRPr="00137840">
              <w:rPr>
                <w:color w:val="000000"/>
                <w:spacing w:val="3"/>
                <w:sz w:val="22"/>
                <w:szCs w:val="22"/>
              </w:rPr>
              <w:t xml:space="preserve">21, </w:t>
            </w:r>
            <w:r w:rsidR="00A26838" w:rsidRPr="00137840">
              <w:rPr>
                <w:color w:val="000000"/>
                <w:spacing w:val="3"/>
                <w:sz w:val="22"/>
                <w:szCs w:val="22"/>
              </w:rPr>
              <w:t>2022).</w:t>
            </w:r>
          </w:p>
          <w:p w14:paraId="7577C20A" w14:textId="15B52079" w:rsidR="00DB4F6C" w:rsidRPr="00137840" w:rsidRDefault="008A1C6E" w:rsidP="00B90582">
            <w:pPr>
              <w:numPr>
                <w:ilvl w:val="0"/>
                <w:numId w:val="6"/>
              </w:numPr>
              <w:rPr>
                <w:bCs/>
                <w:color w:val="000000"/>
                <w:sz w:val="22"/>
                <w:szCs w:val="22"/>
              </w:rPr>
            </w:pPr>
            <w:r w:rsidRPr="00137840">
              <w:rPr>
                <w:bCs/>
                <w:color w:val="000000"/>
                <w:sz w:val="22"/>
                <w:szCs w:val="22"/>
              </w:rPr>
              <w:t>Moderator, CIArb Iberian Chapter Meets with WIPO</w:t>
            </w:r>
            <w:r w:rsidR="00B92AF8" w:rsidRPr="00137840">
              <w:rPr>
                <w:bCs/>
                <w:color w:val="000000"/>
                <w:sz w:val="22"/>
                <w:szCs w:val="22"/>
              </w:rPr>
              <w:t xml:space="preserve">; Mediation and Arbitration in Life Sciences and FRAND </w:t>
            </w:r>
            <w:r w:rsidR="00A50F24" w:rsidRPr="00137840">
              <w:rPr>
                <w:bCs/>
                <w:color w:val="000000"/>
                <w:sz w:val="22"/>
                <w:szCs w:val="22"/>
              </w:rPr>
              <w:t>Disputes,</w:t>
            </w:r>
            <w:r w:rsidR="00B92AF8" w:rsidRPr="00137840">
              <w:rPr>
                <w:bCs/>
                <w:color w:val="000000"/>
                <w:sz w:val="22"/>
                <w:szCs w:val="22"/>
              </w:rPr>
              <w:t xml:space="preserve"> Webinar held 9 June 2022. </w:t>
            </w:r>
          </w:p>
          <w:p w14:paraId="0E5BF4D1" w14:textId="2EE88D9C" w:rsidR="00B90582" w:rsidRPr="00137840" w:rsidRDefault="00F164C5" w:rsidP="00B90582">
            <w:pPr>
              <w:numPr>
                <w:ilvl w:val="0"/>
                <w:numId w:val="6"/>
              </w:numPr>
              <w:rPr>
                <w:b/>
                <w:color w:val="000000"/>
                <w:sz w:val="22"/>
                <w:szCs w:val="22"/>
                <w:u w:val="single"/>
              </w:rPr>
            </w:pPr>
            <w:r w:rsidRPr="00137840">
              <w:rPr>
                <w:bCs/>
                <w:i/>
                <w:iCs/>
                <w:color w:val="000000"/>
                <w:sz w:val="22"/>
                <w:szCs w:val="22"/>
              </w:rPr>
              <w:t>The EU/ US Trade War</w:t>
            </w:r>
            <w:r w:rsidRPr="00137840">
              <w:rPr>
                <w:bCs/>
                <w:color w:val="000000"/>
                <w:sz w:val="22"/>
                <w:szCs w:val="22"/>
              </w:rPr>
              <w:t>, The Ana Rosa TV Program, (October 4, 2019)</w:t>
            </w:r>
            <w:r w:rsidR="00651CA8">
              <w:rPr>
                <w:bCs/>
                <w:color w:val="000000"/>
                <w:sz w:val="22"/>
                <w:szCs w:val="22"/>
              </w:rPr>
              <w:t>.</w:t>
            </w:r>
            <w:r w:rsidRPr="00137840">
              <w:rPr>
                <w:bCs/>
                <w:color w:val="000000"/>
                <w:sz w:val="22"/>
                <w:szCs w:val="22"/>
              </w:rPr>
              <w:t xml:space="preserve"> </w:t>
            </w:r>
            <w:r w:rsidRPr="00137840">
              <w:rPr>
                <w:color w:val="000000"/>
                <w:sz w:val="22"/>
                <w:szCs w:val="22"/>
              </w:rPr>
              <w:t>https://www.telecinco.es/elprogramadeanarosa/guerra-comercial-estados-unidos-union-europea-exportaciones_18_2829495092.html</w:t>
            </w:r>
          </w:p>
          <w:p w14:paraId="78CBC113" w14:textId="77777777" w:rsidR="00A26838" w:rsidRPr="00137840" w:rsidRDefault="00A26838" w:rsidP="00B90582">
            <w:pPr>
              <w:numPr>
                <w:ilvl w:val="0"/>
                <w:numId w:val="6"/>
              </w:numPr>
              <w:rPr>
                <w:b/>
                <w:color w:val="000000"/>
                <w:sz w:val="22"/>
                <w:szCs w:val="22"/>
                <w:u w:val="single"/>
              </w:rPr>
            </w:pPr>
            <w:r w:rsidRPr="00137840">
              <w:rPr>
                <w:i/>
                <w:iCs/>
                <w:color w:val="000000"/>
                <w:sz w:val="22"/>
                <w:szCs w:val="22"/>
              </w:rPr>
              <w:t>Hidden risks of international business and how to navigate them</w:t>
            </w:r>
            <w:r w:rsidRPr="00137840">
              <w:rPr>
                <w:color w:val="000000"/>
                <w:sz w:val="22"/>
                <w:szCs w:val="22"/>
              </w:rPr>
              <w:t xml:space="preserve">, 16ª </w:t>
            </w:r>
            <w:r w:rsidRPr="00E03FA2">
              <w:rPr>
                <w:color w:val="000000"/>
                <w:sz w:val="22"/>
                <w:szCs w:val="22"/>
                <w:lang w:val="es-ES"/>
              </w:rPr>
              <w:t xml:space="preserve">Edición de la </w:t>
            </w:r>
            <w:r w:rsidR="00FD140E" w:rsidRPr="00E03FA2">
              <w:rPr>
                <w:color w:val="000000"/>
                <w:sz w:val="22"/>
                <w:szCs w:val="22"/>
                <w:lang w:val="es-ES"/>
              </w:rPr>
              <w:t>F</w:t>
            </w:r>
            <w:r w:rsidRPr="00E03FA2">
              <w:rPr>
                <w:color w:val="000000"/>
                <w:sz w:val="22"/>
                <w:szCs w:val="22"/>
                <w:lang w:val="es-ES"/>
              </w:rPr>
              <w:t xml:space="preserve">eria de </w:t>
            </w:r>
            <w:r w:rsidR="00FD140E" w:rsidRPr="00E03FA2">
              <w:rPr>
                <w:color w:val="000000"/>
                <w:sz w:val="22"/>
                <w:szCs w:val="22"/>
                <w:lang w:val="es-ES"/>
              </w:rPr>
              <w:t>I</w:t>
            </w:r>
            <w:r w:rsidRPr="00E03FA2">
              <w:rPr>
                <w:color w:val="000000"/>
                <w:sz w:val="22"/>
                <w:szCs w:val="22"/>
                <w:lang w:val="es-ES"/>
              </w:rPr>
              <w:t>nternacionalización IMEX-</w:t>
            </w:r>
            <w:r w:rsidR="00FD140E" w:rsidRPr="00E03FA2">
              <w:rPr>
                <w:color w:val="000000"/>
                <w:sz w:val="22"/>
                <w:szCs w:val="22"/>
                <w:lang w:val="es-ES"/>
              </w:rPr>
              <w:t>Impulso E</w:t>
            </w:r>
            <w:r w:rsidR="00FD140E" w:rsidRPr="00137840">
              <w:rPr>
                <w:color w:val="000000"/>
                <w:sz w:val="22"/>
                <w:szCs w:val="22"/>
              </w:rPr>
              <w:t xml:space="preserve">xterior, </w:t>
            </w:r>
            <w:r w:rsidRPr="00137840">
              <w:rPr>
                <w:color w:val="000000"/>
                <w:sz w:val="22"/>
                <w:szCs w:val="22"/>
              </w:rPr>
              <w:t xml:space="preserve">Madrid </w:t>
            </w:r>
            <w:r w:rsidR="000A2EC4" w:rsidRPr="00137840">
              <w:rPr>
                <w:color w:val="000000"/>
                <w:sz w:val="22"/>
                <w:szCs w:val="22"/>
              </w:rPr>
              <w:t>(February</w:t>
            </w:r>
            <w:r w:rsidRPr="00137840">
              <w:rPr>
                <w:color w:val="000000"/>
                <w:sz w:val="22"/>
                <w:szCs w:val="22"/>
              </w:rPr>
              <w:t xml:space="preserve"> </w:t>
            </w:r>
            <w:r w:rsidR="000A2EC4" w:rsidRPr="00137840">
              <w:rPr>
                <w:color w:val="000000"/>
                <w:sz w:val="22"/>
                <w:szCs w:val="22"/>
              </w:rPr>
              <w:t xml:space="preserve">14, </w:t>
            </w:r>
            <w:r w:rsidRPr="00137840">
              <w:rPr>
                <w:color w:val="000000"/>
                <w:sz w:val="22"/>
                <w:szCs w:val="22"/>
              </w:rPr>
              <w:t>201</w:t>
            </w:r>
            <w:r w:rsidR="000A2EC4" w:rsidRPr="00137840">
              <w:rPr>
                <w:color w:val="000000"/>
                <w:sz w:val="22"/>
                <w:szCs w:val="22"/>
              </w:rPr>
              <w:t>8</w:t>
            </w:r>
            <w:r w:rsidRPr="00137840">
              <w:rPr>
                <w:color w:val="000000"/>
                <w:sz w:val="22"/>
                <w:szCs w:val="22"/>
              </w:rPr>
              <w:t>).</w:t>
            </w:r>
          </w:p>
          <w:p w14:paraId="3BBAFD39" w14:textId="77777777" w:rsidR="00A26838" w:rsidRPr="00137840" w:rsidRDefault="00A26838" w:rsidP="00A26838">
            <w:pPr>
              <w:spacing w:line="276" w:lineRule="auto"/>
              <w:ind w:left="360"/>
              <w:jc w:val="both"/>
              <w:rPr>
                <w:sz w:val="22"/>
                <w:szCs w:val="22"/>
              </w:rPr>
            </w:pPr>
          </w:p>
        </w:tc>
      </w:tr>
      <w:tr w:rsidR="00A26838" w:rsidRPr="00137840" w14:paraId="4338B92C" w14:textId="77777777" w:rsidTr="00BE60C2">
        <w:trPr>
          <w:trHeight w:val="462"/>
        </w:trPr>
        <w:tc>
          <w:tcPr>
            <w:tcW w:w="9450" w:type="dxa"/>
            <w:gridSpan w:val="3"/>
            <w:shd w:val="clear" w:color="auto" w:fill="F2F2F2"/>
            <w:vAlign w:val="center"/>
          </w:tcPr>
          <w:p w14:paraId="549DC26D" w14:textId="77777777" w:rsidR="00A26838" w:rsidRPr="00137840" w:rsidRDefault="00A26838" w:rsidP="00A26838">
            <w:pPr>
              <w:spacing w:line="276" w:lineRule="auto"/>
              <w:rPr>
                <w:sz w:val="22"/>
                <w:szCs w:val="22"/>
              </w:rPr>
            </w:pPr>
            <w:r w:rsidRPr="00137840">
              <w:rPr>
                <w:b/>
                <w:sz w:val="22"/>
                <w:szCs w:val="22"/>
              </w:rPr>
              <w:t xml:space="preserve">Languages </w:t>
            </w:r>
          </w:p>
        </w:tc>
      </w:tr>
      <w:tr w:rsidR="00A26838" w:rsidRPr="00137840" w14:paraId="23B63E80" w14:textId="77777777" w:rsidTr="00BE60C2">
        <w:trPr>
          <w:trHeight w:val="692"/>
        </w:trPr>
        <w:tc>
          <w:tcPr>
            <w:tcW w:w="9450" w:type="dxa"/>
            <w:gridSpan w:val="3"/>
            <w:shd w:val="clear" w:color="auto" w:fill="auto"/>
          </w:tcPr>
          <w:p w14:paraId="7224A433" w14:textId="77777777" w:rsidR="00A26838" w:rsidRPr="00137840" w:rsidRDefault="00A26838" w:rsidP="00A26838">
            <w:pPr>
              <w:numPr>
                <w:ilvl w:val="0"/>
                <w:numId w:val="5"/>
              </w:numPr>
              <w:spacing w:line="276" w:lineRule="auto"/>
              <w:jc w:val="both"/>
              <w:rPr>
                <w:sz w:val="22"/>
                <w:szCs w:val="22"/>
              </w:rPr>
            </w:pPr>
            <w:r w:rsidRPr="00137840">
              <w:rPr>
                <w:sz w:val="22"/>
                <w:szCs w:val="22"/>
              </w:rPr>
              <w:t xml:space="preserve">Active </w:t>
            </w:r>
            <w:r w:rsidRPr="00137840">
              <w:rPr>
                <w:i/>
                <w:iCs/>
                <w:sz w:val="22"/>
                <w:szCs w:val="22"/>
              </w:rPr>
              <w:t>(for oral hearings)</w:t>
            </w:r>
            <w:r w:rsidRPr="00137840">
              <w:rPr>
                <w:sz w:val="22"/>
                <w:szCs w:val="22"/>
              </w:rPr>
              <w:t>: English (native), Spanish (fluent), French (intermediate)</w:t>
            </w:r>
            <w:r w:rsidR="003B2530" w:rsidRPr="00137840">
              <w:rPr>
                <w:sz w:val="22"/>
                <w:szCs w:val="22"/>
              </w:rPr>
              <w:t>.</w:t>
            </w:r>
          </w:p>
          <w:p w14:paraId="02BC22DB" w14:textId="77777777" w:rsidR="00A26838" w:rsidRPr="00137840" w:rsidRDefault="00A26838" w:rsidP="00A26838">
            <w:pPr>
              <w:numPr>
                <w:ilvl w:val="0"/>
                <w:numId w:val="5"/>
              </w:numPr>
              <w:spacing w:line="276" w:lineRule="auto"/>
              <w:jc w:val="both"/>
              <w:rPr>
                <w:sz w:val="22"/>
                <w:szCs w:val="22"/>
              </w:rPr>
            </w:pPr>
            <w:r w:rsidRPr="00137840">
              <w:rPr>
                <w:sz w:val="22"/>
                <w:szCs w:val="22"/>
              </w:rPr>
              <w:t xml:space="preserve">Passive </w:t>
            </w:r>
            <w:r w:rsidRPr="00137840">
              <w:rPr>
                <w:i/>
                <w:iCs/>
                <w:sz w:val="22"/>
                <w:szCs w:val="22"/>
              </w:rPr>
              <w:t>(for reading documents)</w:t>
            </w:r>
            <w:r w:rsidRPr="00137840">
              <w:rPr>
                <w:sz w:val="22"/>
                <w:szCs w:val="22"/>
              </w:rPr>
              <w:t>: English (native), Spanish (fluent), French (intermediate)</w:t>
            </w:r>
            <w:r w:rsidR="003B2530" w:rsidRPr="00137840">
              <w:rPr>
                <w:sz w:val="22"/>
                <w:szCs w:val="22"/>
              </w:rPr>
              <w:t>.</w:t>
            </w:r>
          </w:p>
          <w:p w14:paraId="0691D573" w14:textId="77777777" w:rsidR="00A26838" w:rsidRPr="00137840" w:rsidRDefault="00A26838" w:rsidP="00A26838">
            <w:pPr>
              <w:numPr>
                <w:ilvl w:val="0"/>
                <w:numId w:val="5"/>
              </w:numPr>
              <w:spacing w:line="276" w:lineRule="auto"/>
              <w:jc w:val="both"/>
              <w:rPr>
                <w:sz w:val="22"/>
                <w:szCs w:val="22"/>
              </w:rPr>
            </w:pPr>
            <w:r w:rsidRPr="00137840">
              <w:rPr>
                <w:sz w:val="22"/>
                <w:szCs w:val="22"/>
              </w:rPr>
              <w:t xml:space="preserve">Drafting </w:t>
            </w:r>
            <w:r w:rsidRPr="00137840">
              <w:rPr>
                <w:i/>
                <w:iCs/>
                <w:sz w:val="22"/>
                <w:szCs w:val="22"/>
              </w:rPr>
              <w:t>(for writing Awards/Decisions/etc.)</w:t>
            </w:r>
            <w:r w:rsidRPr="00137840">
              <w:rPr>
                <w:sz w:val="22"/>
                <w:szCs w:val="22"/>
              </w:rPr>
              <w:t>: English (native), Spanish (fluent)</w:t>
            </w:r>
            <w:r w:rsidR="003B2530" w:rsidRPr="00137840">
              <w:rPr>
                <w:sz w:val="22"/>
                <w:szCs w:val="22"/>
              </w:rPr>
              <w:t>.</w:t>
            </w:r>
          </w:p>
        </w:tc>
      </w:tr>
      <w:tr w:rsidR="00A26838" w:rsidRPr="00137840" w14:paraId="0AFAA126" w14:textId="77777777" w:rsidTr="00BE60C2">
        <w:trPr>
          <w:trHeight w:val="462"/>
        </w:trPr>
        <w:tc>
          <w:tcPr>
            <w:tcW w:w="9450" w:type="dxa"/>
            <w:gridSpan w:val="3"/>
            <w:shd w:val="clear" w:color="auto" w:fill="F2F2F2"/>
            <w:vAlign w:val="center"/>
          </w:tcPr>
          <w:p w14:paraId="218874EE" w14:textId="77777777" w:rsidR="00A26838" w:rsidRPr="00137840" w:rsidRDefault="00A26838" w:rsidP="00A26838">
            <w:pPr>
              <w:spacing w:line="276" w:lineRule="auto"/>
              <w:rPr>
                <w:sz w:val="22"/>
                <w:szCs w:val="22"/>
              </w:rPr>
            </w:pPr>
            <w:r w:rsidRPr="00137840">
              <w:rPr>
                <w:b/>
                <w:sz w:val="22"/>
                <w:szCs w:val="22"/>
              </w:rPr>
              <w:t xml:space="preserve">Education </w:t>
            </w:r>
          </w:p>
        </w:tc>
      </w:tr>
      <w:tr w:rsidR="00A26838" w:rsidRPr="00137840" w14:paraId="2BEC12D7" w14:textId="77777777" w:rsidTr="00BE60C2">
        <w:trPr>
          <w:trHeight w:val="692"/>
        </w:trPr>
        <w:tc>
          <w:tcPr>
            <w:tcW w:w="9450" w:type="dxa"/>
            <w:gridSpan w:val="3"/>
            <w:shd w:val="clear" w:color="auto" w:fill="auto"/>
          </w:tcPr>
          <w:p w14:paraId="4C04DFFF" w14:textId="4E26B3D5" w:rsidR="00D52790" w:rsidRPr="00137840" w:rsidRDefault="00D52790" w:rsidP="00D52790">
            <w:pPr>
              <w:numPr>
                <w:ilvl w:val="0"/>
                <w:numId w:val="4"/>
              </w:numPr>
              <w:spacing w:line="276" w:lineRule="auto"/>
              <w:jc w:val="both"/>
              <w:rPr>
                <w:sz w:val="22"/>
                <w:szCs w:val="22"/>
              </w:rPr>
            </w:pPr>
            <w:r w:rsidRPr="00137840">
              <w:rPr>
                <w:sz w:val="22"/>
                <w:szCs w:val="22"/>
              </w:rPr>
              <w:t xml:space="preserve">The Phoenix Dispute Solutions Limited (PDSL) Mediation Training </w:t>
            </w:r>
            <w:proofErr w:type="spellStart"/>
            <w:r w:rsidRPr="00137840">
              <w:rPr>
                <w:sz w:val="22"/>
                <w:szCs w:val="22"/>
              </w:rPr>
              <w:t>Programme</w:t>
            </w:r>
            <w:proofErr w:type="spellEnd"/>
            <w:r w:rsidRPr="00137840">
              <w:rPr>
                <w:sz w:val="22"/>
                <w:szCs w:val="22"/>
              </w:rPr>
              <w:t xml:space="preserve"> - an International Mediation Institute, Civil Mediation Council and C</w:t>
            </w:r>
            <w:r w:rsidR="008366D8">
              <w:rPr>
                <w:sz w:val="22"/>
                <w:szCs w:val="22"/>
              </w:rPr>
              <w:t xml:space="preserve">IArb </w:t>
            </w:r>
            <w:r w:rsidRPr="00137840">
              <w:rPr>
                <w:sz w:val="22"/>
                <w:szCs w:val="22"/>
              </w:rPr>
              <w:t xml:space="preserve">approved training provider </w:t>
            </w:r>
            <w:r w:rsidRPr="00137840">
              <w:rPr>
                <w:color w:val="000000"/>
                <w:sz w:val="22"/>
                <w:szCs w:val="22"/>
              </w:rPr>
              <w:t>(London, UK)</w:t>
            </w:r>
            <w:r w:rsidRPr="00137840">
              <w:rPr>
                <w:sz w:val="22"/>
                <w:szCs w:val="22"/>
              </w:rPr>
              <w:t xml:space="preserve"> (2022).</w:t>
            </w:r>
          </w:p>
          <w:p w14:paraId="721209C5" w14:textId="00E77A52" w:rsidR="00D52790" w:rsidRPr="00137840" w:rsidRDefault="00D52790" w:rsidP="00D52790">
            <w:pPr>
              <w:numPr>
                <w:ilvl w:val="0"/>
                <w:numId w:val="4"/>
              </w:numPr>
              <w:spacing w:line="276" w:lineRule="auto"/>
              <w:jc w:val="both"/>
              <w:rPr>
                <w:sz w:val="22"/>
                <w:szCs w:val="22"/>
              </w:rPr>
            </w:pPr>
            <w:r w:rsidRPr="00137840">
              <w:rPr>
                <w:color w:val="000000"/>
                <w:kern w:val="36"/>
                <w:sz w:val="22"/>
                <w:szCs w:val="22"/>
              </w:rPr>
              <w:t xml:space="preserve">CIArb Module 3 - International Arbitration: Evidence, Decision Making and Award </w:t>
            </w:r>
            <w:r w:rsidR="00E03FA2" w:rsidRPr="00137840">
              <w:rPr>
                <w:color w:val="000000"/>
                <w:kern w:val="36"/>
                <w:sz w:val="22"/>
                <w:szCs w:val="22"/>
              </w:rPr>
              <w:t>Writing</w:t>
            </w:r>
            <w:r w:rsidR="00E03FA2">
              <w:rPr>
                <w:color w:val="000000"/>
                <w:kern w:val="36"/>
                <w:sz w:val="22"/>
                <w:szCs w:val="22"/>
              </w:rPr>
              <w:t>,</w:t>
            </w:r>
            <w:r w:rsidR="00E03FA2" w:rsidRPr="00137840">
              <w:rPr>
                <w:color w:val="000000"/>
                <w:kern w:val="36"/>
                <w:sz w:val="22"/>
                <w:szCs w:val="22"/>
              </w:rPr>
              <w:t xml:space="preserve"> </w:t>
            </w:r>
            <w:r w:rsidR="00E03FA2" w:rsidRPr="00137840">
              <w:rPr>
                <w:color w:val="000000"/>
                <w:sz w:val="22"/>
                <w:szCs w:val="22"/>
              </w:rPr>
              <w:t>Chartered</w:t>
            </w:r>
            <w:r w:rsidRPr="00137840">
              <w:rPr>
                <w:color w:val="000000"/>
                <w:sz w:val="22"/>
                <w:szCs w:val="22"/>
              </w:rPr>
              <w:t xml:space="preserve"> Institute of Arbitrators (London, UK) (2021).</w:t>
            </w:r>
          </w:p>
          <w:p w14:paraId="390DC1B4" w14:textId="1E704BDE" w:rsidR="00D52790" w:rsidRPr="00137840" w:rsidRDefault="00D52790" w:rsidP="00D52790">
            <w:pPr>
              <w:numPr>
                <w:ilvl w:val="0"/>
                <w:numId w:val="4"/>
              </w:numPr>
              <w:spacing w:line="276" w:lineRule="auto"/>
              <w:jc w:val="both"/>
              <w:rPr>
                <w:sz w:val="22"/>
                <w:szCs w:val="22"/>
              </w:rPr>
            </w:pPr>
            <w:r w:rsidRPr="00137840">
              <w:rPr>
                <w:color w:val="000000"/>
                <w:kern w:val="36"/>
                <w:sz w:val="22"/>
                <w:szCs w:val="22"/>
              </w:rPr>
              <w:t>CIArb</w:t>
            </w:r>
            <w:r w:rsidRPr="00137840">
              <w:rPr>
                <w:color w:val="000000"/>
                <w:sz w:val="22"/>
                <w:szCs w:val="22"/>
              </w:rPr>
              <w:t xml:space="preserve"> Module 2- </w:t>
            </w:r>
            <w:r w:rsidRPr="00137840">
              <w:rPr>
                <w:color w:val="000000"/>
                <w:sz w:val="22"/>
                <w:szCs w:val="22"/>
                <w:shd w:val="clear" w:color="auto" w:fill="FFFFFF"/>
              </w:rPr>
              <w:t xml:space="preserve">Contract and Tort law, </w:t>
            </w:r>
            <w:r w:rsidRPr="00137840">
              <w:rPr>
                <w:color w:val="000000"/>
                <w:sz w:val="22"/>
                <w:szCs w:val="22"/>
              </w:rPr>
              <w:t xml:space="preserve">Chartered Institute of Arbitrators (London, </w:t>
            </w:r>
            <w:r w:rsidR="00E03FA2" w:rsidRPr="00137840">
              <w:rPr>
                <w:color w:val="000000"/>
                <w:sz w:val="22"/>
                <w:szCs w:val="22"/>
              </w:rPr>
              <w:t>UK) (</w:t>
            </w:r>
            <w:r w:rsidRPr="00137840">
              <w:rPr>
                <w:color w:val="000000"/>
                <w:sz w:val="22"/>
                <w:szCs w:val="22"/>
              </w:rPr>
              <w:t>2021)</w:t>
            </w:r>
          </w:p>
          <w:p w14:paraId="5FCCE909" w14:textId="11D66483" w:rsidR="00D52790" w:rsidRPr="00137840" w:rsidRDefault="00D52790" w:rsidP="00D52790">
            <w:pPr>
              <w:numPr>
                <w:ilvl w:val="0"/>
                <w:numId w:val="4"/>
              </w:numPr>
              <w:spacing w:line="276" w:lineRule="auto"/>
              <w:jc w:val="both"/>
              <w:rPr>
                <w:sz w:val="22"/>
                <w:szCs w:val="22"/>
              </w:rPr>
            </w:pPr>
            <w:r w:rsidRPr="00137840">
              <w:rPr>
                <w:color w:val="000000"/>
                <w:kern w:val="36"/>
                <w:sz w:val="22"/>
                <w:szCs w:val="22"/>
              </w:rPr>
              <w:t>CIArb</w:t>
            </w:r>
            <w:r w:rsidRPr="00137840">
              <w:rPr>
                <w:bCs/>
                <w:sz w:val="22"/>
                <w:szCs w:val="22"/>
              </w:rPr>
              <w:t xml:space="preserve"> Module 1- Advanced Course on International Commercial </w:t>
            </w:r>
            <w:r w:rsidR="008366D8">
              <w:rPr>
                <w:bCs/>
                <w:sz w:val="22"/>
                <w:szCs w:val="22"/>
              </w:rPr>
              <w:t>A</w:t>
            </w:r>
            <w:r w:rsidRPr="00137840">
              <w:rPr>
                <w:bCs/>
                <w:sz w:val="22"/>
                <w:szCs w:val="22"/>
              </w:rPr>
              <w:t xml:space="preserve">rbitration, CEU San Pablo University and the Center for International Arbitration, Mediation and Negotiation (CIAMEN) in collaboration with the Chartered Institute of Arbitrators (Madrid, Spain) </w:t>
            </w:r>
            <w:r w:rsidR="00E03FA2" w:rsidRPr="00137840">
              <w:rPr>
                <w:bCs/>
                <w:sz w:val="22"/>
                <w:szCs w:val="22"/>
              </w:rPr>
              <w:t>(2018</w:t>
            </w:r>
            <w:r w:rsidRPr="00137840">
              <w:rPr>
                <w:bCs/>
                <w:sz w:val="22"/>
                <w:szCs w:val="22"/>
              </w:rPr>
              <w:t>).</w:t>
            </w:r>
          </w:p>
          <w:p w14:paraId="5314E585" w14:textId="77777777" w:rsidR="00D52790" w:rsidRPr="00137840" w:rsidRDefault="00D52790" w:rsidP="00D52790">
            <w:pPr>
              <w:numPr>
                <w:ilvl w:val="0"/>
                <w:numId w:val="4"/>
              </w:numPr>
              <w:spacing w:line="276" w:lineRule="auto"/>
              <w:jc w:val="both"/>
              <w:rPr>
                <w:sz w:val="22"/>
                <w:szCs w:val="22"/>
              </w:rPr>
            </w:pPr>
            <w:r w:rsidRPr="00E03FA2">
              <w:rPr>
                <w:bCs/>
                <w:sz w:val="22"/>
                <w:szCs w:val="22"/>
                <w:lang w:val="es-ES"/>
              </w:rPr>
              <w:t>Licenciatura en</w:t>
            </w:r>
            <w:r w:rsidRPr="00137840">
              <w:rPr>
                <w:bCs/>
                <w:sz w:val="22"/>
                <w:szCs w:val="22"/>
              </w:rPr>
              <w:t xml:space="preserve"> Derecho (Spanish Law Degree) - Spanish Ministry of Education (Madrid, Spain) (2000). </w:t>
            </w:r>
          </w:p>
          <w:p w14:paraId="63B604B1" w14:textId="77777777" w:rsidR="00D52790" w:rsidRPr="00137840" w:rsidRDefault="00D52790" w:rsidP="00D52790">
            <w:pPr>
              <w:numPr>
                <w:ilvl w:val="0"/>
                <w:numId w:val="4"/>
              </w:numPr>
              <w:spacing w:line="276" w:lineRule="auto"/>
              <w:jc w:val="both"/>
              <w:rPr>
                <w:sz w:val="22"/>
                <w:szCs w:val="22"/>
                <w:lang w:val="es-ES"/>
              </w:rPr>
            </w:pPr>
            <w:r w:rsidRPr="00137840">
              <w:rPr>
                <w:bCs/>
                <w:sz w:val="22"/>
                <w:szCs w:val="22"/>
                <w:lang w:val="es-ES"/>
              </w:rPr>
              <w:t xml:space="preserve">Máster en Asesoría Jurídica de Empresa (LLM, </w:t>
            </w:r>
            <w:r w:rsidRPr="00E03FA2">
              <w:rPr>
                <w:bCs/>
                <w:sz w:val="22"/>
                <w:szCs w:val="22"/>
              </w:rPr>
              <w:t>Corporate Counseling</w:t>
            </w:r>
            <w:r w:rsidRPr="00137840">
              <w:rPr>
                <w:bCs/>
                <w:sz w:val="22"/>
                <w:szCs w:val="22"/>
                <w:lang w:val="es-ES"/>
              </w:rPr>
              <w:t xml:space="preserve">), Instituto de Empresa (Madrid, </w:t>
            </w:r>
            <w:r w:rsidRPr="00E03FA2">
              <w:rPr>
                <w:bCs/>
                <w:sz w:val="22"/>
                <w:szCs w:val="22"/>
              </w:rPr>
              <w:t>Spain)</w:t>
            </w:r>
            <w:r w:rsidRPr="00137840">
              <w:rPr>
                <w:bCs/>
                <w:sz w:val="22"/>
                <w:szCs w:val="22"/>
                <w:lang w:val="es-ES"/>
              </w:rPr>
              <w:t xml:space="preserve"> </w:t>
            </w:r>
            <w:r w:rsidRPr="00137840">
              <w:rPr>
                <w:rStyle w:val="major"/>
                <w:bCs/>
                <w:sz w:val="22"/>
                <w:szCs w:val="22"/>
                <w:lang w:val="es-ES"/>
              </w:rPr>
              <w:t>(</w:t>
            </w:r>
            <w:r w:rsidRPr="00137840">
              <w:rPr>
                <w:bCs/>
                <w:sz w:val="22"/>
                <w:szCs w:val="22"/>
                <w:lang w:val="es-ES"/>
              </w:rPr>
              <w:t>1998).</w:t>
            </w:r>
          </w:p>
          <w:p w14:paraId="58DEF149" w14:textId="77777777" w:rsidR="00D52790" w:rsidRPr="00137840" w:rsidRDefault="00D52790" w:rsidP="00A26838">
            <w:pPr>
              <w:numPr>
                <w:ilvl w:val="0"/>
                <w:numId w:val="4"/>
              </w:numPr>
              <w:spacing w:line="276" w:lineRule="auto"/>
              <w:jc w:val="both"/>
              <w:rPr>
                <w:rStyle w:val="degree"/>
                <w:sz w:val="22"/>
                <w:szCs w:val="22"/>
              </w:rPr>
            </w:pPr>
            <w:r w:rsidRPr="00137840">
              <w:rPr>
                <w:rStyle w:val="degree"/>
                <w:bCs/>
                <w:sz w:val="22"/>
                <w:szCs w:val="22"/>
              </w:rPr>
              <w:t>Juris Doctor,</w:t>
            </w:r>
            <w:r w:rsidRPr="00137840">
              <w:rPr>
                <w:rStyle w:val="major"/>
                <w:bCs/>
                <w:sz w:val="22"/>
                <w:szCs w:val="22"/>
              </w:rPr>
              <w:t xml:space="preserve"> </w:t>
            </w:r>
            <w:r w:rsidRPr="00137840">
              <w:rPr>
                <w:bCs/>
                <w:sz w:val="22"/>
                <w:szCs w:val="22"/>
              </w:rPr>
              <w:t xml:space="preserve">Fordham University School of Law (New York, NY) </w:t>
            </w:r>
            <w:r w:rsidRPr="00137840">
              <w:rPr>
                <w:rStyle w:val="major"/>
                <w:bCs/>
                <w:sz w:val="22"/>
                <w:szCs w:val="22"/>
              </w:rPr>
              <w:t>(</w:t>
            </w:r>
            <w:r w:rsidRPr="00137840">
              <w:rPr>
                <w:bCs/>
                <w:sz w:val="22"/>
                <w:szCs w:val="22"/>
              </w:rPr>
              <w:t>1989)</w:t>
            </w:r>
          </w:p>
          <w:p w14:paraId="2B42989C" w14:textId="77777777" w:rsidR="00D52790" w:rsidRPr="008366D8" w:rsidRDefault="00A26838" w:rsidP="008366D8">
            <w:pPr>
              <w:numPr>
                <w:ilvl w:val="0"/>
                <w:numId w:val="4"/>
              </w:numPr>
              <w:spacing w:line="276" w:lineRule="auto"/>
              <w:jc w:val="both"/>
              <w:rPr>
                <w:sz w:val="22"/>
                <w:szCs w:val="22"/>
              </w:rPr>
            </w:pPr>
            <w:r w:rsidRPr="00137840">
              <w:rPr>
                <w:color w:val="000000"/>
                <w:kern w:val="36"/>
                <w:sz w:val="22"/>
                <w:szCs w:val="22"/>
              </w:rPr>
              <w:t>Bachelor of Arts, Political Science, Rutgers,</w:t>
            </w:r>
            <w:r w:rsidRPr="00137840">
              <w:rPr>
                <w:bCs/>
                <w:sz w:val="22"/>
                <w:szCs w:val="22"/>
              </w:rPr>
              <w:t xml:space="preserve"> The State University of New Jersey (</w:t>
            </w:r>
            <w:r w:rsidRPr="00137840">
              <w:rPr>
                <w:color w:val="000000"/>
                <w:kern w:val="36"/>
                <w:sz w:val="22"/>
                <w:szCs w:val="22"/>
              </w:rPr>
              <w:t>New Brunswick, NJ) (1986)</w:t>
            </w:r>
            <w:r w:rsidR="00D208AD" w:rsidRPr="00137840">
              <w:rPr>
                <w:color w:val="000000"/>
                <w:kern w:val="36"/>
                <w:sz w:val="22"/>
                <w:szCs w:val="22"/>
              </w:rPr>
              <w:t>.</w:t>
            </w:r>
          </w:p>
          <w:p w14:paraId="10947F80" w14:textId="4A36E4DB" w:rsidR="00CF05ED" w:rsidRPr="00137840" w:rsidRDefault="00CF05ED" w:rsidP="008366D8">
            <w:pPr>
              <w:spacing w:line="276" w:lineRule="auto"/>
              <w:jc w:val="both"/>
              <w:rPr>
                <w:sz w:val="22"/>
                <w:szCs w:val="22"/>
              </w:rPr>
            </w:pPr>
          </w:p>
        </w:tc>
      </w:tr>
      <w:tr w:rsidR="00A26838" w:rsidRPr="00137840" w14:paraId="5B398CEF" w14:textId="77777777" w:rsidTr="00BE60C2">
        <w:trPr>
          <w:trHeight w:val="449"/>
        </w:trPr>
        <w:tc>
          <w:tcPr>
            <w:tcW w:w="9450" w:type="dxa"/>
            <w:gridSpan w:val="3"/>
            <w:shd w:val="clear" w:color="auto" w:fill="F2F2F2"/>
            <w:vAlign w:val="center"/>
          </w:tcPr>
          <w:p w14:paraId="1A9B8492" w14:textId="77777777" w:rsidR="00A26838" w:rsidRPr="00137840" w:rsidRDefault="00A26838" w:rsidP="00A26838">
            <w:pPr>
              <w:spacing w:line="276" w:lineRule="auto"/>
              <w:rPr>
                <w:b/>
                <w:sz w:val="22"/>
                <w:szCs w:val="22"/>
              </w:rPr>
            </w:pPr>
            <w:r w:rsidRPr="00137840">
              <w:rPr>
                <w:b/>
                <w:sz w:val="22"/>
                <w:szCs w:val="22"/>
              </w:rPr>
              <w:t>Professional Memberships</w:t>
            </w:r>
          </w:p>
        </w:tc>
      </w:tr>
      <w:tr w:rsidR="00A26838" w:rsidRPr="00137840" w14:paraId="4DB8E653" w14:textId="77777777" w:rsidTr="00BE60C2">
        <w:trPr>
          <w:trHeight w:val="705"/>
        </w:trPr>
        <w:tc>
          <w:tcPr>
            <w:tcW w:w="9450" w:type="dxa"/>
            <w:gridSpan w:val="3"/>
            <w:shd w:val="clear" w:color="auto" w:fill="auto"/>
          </w:tcPr>
          <w:p w14:paraId="49E099FF" w14:textId="57F3F897" w:rsidR="00A26838" w:rsidRPr="00137840" w:rsidRDefault="00A26838" w:rsidP="00A26838">
            <w:pPr>
              <w:numPr>
                <w:ilvl w:val="0"/>
                <w:numId w:val="8"/>
              </w:numPr>
              <w:spacing w:line="276" w:lineRule="auto"/>
              <w:jc w:val="both"/>
              <w:rPr>
                <w:sz w:val="22"/>
                <w:szCs w:val="22"/>
              </w:rPr>
            </w:pPr>
            <w:r w:rsidRPr="00137840">
              <w:rPr>
                <w:sz w:val="22"/>
                <w:szCs w:val="22"/>
              </w:rPr>
              <w:t xml:space="preserve">Chartered Institute of Arbitrators (CIArb) </w:t>
            </w:r>
            <w:r w:rsidR="000A2EC4" w:rsidRPr="00137840">
              <w:rPr>
                <w:sz w:val="22"/>
                <w:szCs w:val="22"/>
              </w:rPr>
              <w:t xml:space="preserve">Iberian </w:t>
            </w:r>
            <w:r w:rsidRPr="00137840">
              <w:rPr>
                <w:sz w:val="22"/>
                <w:szCs w:val="22"/>
              </w:rPr>
              <w:t>Chapter</w:t>
            </w:r>
            <w:r w:rsidR="008366D8">
              <w:rPr>
                <w:sz w:val="22"/>
                <w:szCs w:val="22"/>
              </w:rPr>
              <w:t>-</w:t>
            </w:r>
            <w:r w:rsidRPr="00137840">
              <w:rPr>
                <w:sz w:val="22"/>
                <w:szCs w:val="22"/>
              </w:rPr>
              <w:t xml:space="preserve"> </w:t>
            </w:r>
            <w:r w:rsidR="00C8472E" w:rsidRPr="00137840">
              <w:rPr>
                <w:sz w:val="22"/>
                <w:szCs w:val="22"/>
              </w:rPr>
              <w:t>Member of Steering Committee.</w:t>
            </w:r>
          </w:p>
          <w:p w14:paraId="48809810" w14:textId="77777777" w:rsidR="00A26838" w:rsidRPr="00137840" w:rsidRDefault="00A26838" w:rsidP="00A26838">
            <w:pPr>
              <w:numPr>
                <w:ilvl w:val="0"/>
                <w:numId w:val="8"/>
              </w:numPr>
              <w:spacing w:line="276" w:lineRule="auto"/>
              <w:jc w:val="both"/>
              <w:rPr>
                <w:sz w:val="22"/>
                <w:szCs w:val="22"/>
                <w:lang w:val="es-ES"/>
              </w:rPr>
            </w:pPr>
            <w:r w:rsidRPr="00137840">
              <w:rPr>
                <w:sz w:val="22"/>
                <w:szCs w:val="22"/>
                <w:lang w:val="es-ES"/>
              </w:rPr>
              <w:t>Club Español de Arbitraje (CEA) Madrid.</w:t>
            </w:r>
          </w:p>
          <w:p w14:paraId="08568225" w14:textId="77777777" w:rsidR="008A51CC" w:rsidRPr="00137840" w:rsidRDefault="008A51CC" w:rsidP="00A26838">
            <w:pPr>
              <w:numPr>
                <w:ilvl w:val="0"/>
                <w:numId w:val="8"/>
              </w:numPr>
              <w:spacing w:line="276" w:lineRule="auto"/>
              <w:jc w:val="both"/>
              <w:rPr>
                <w:sz w:val="22"/>
                <w:szCs w:val="22"/>
              </w:rPr>
            </w:pPr>
            <w:r w:rsidRPr="00137840">
              <w:rPr>
                <w:sz w:val="22"/>
                <w:szCs w:val="22"/>
              </w:rPr>
              <w:t>International Bar Association</w:t>
            </w:r>
            <w:r w:rsidR="00D52790" w:rsidRPr="00137840">
              <w:rPr>
                <w:sz w:val="22"/>
                <w:szCs w:val="22"/>
              </w:rPr>
              <w:t xml:space="preserve"> </w:t>
            </w:r>
            <w:r w:rsidRPr="00137840">
              <w:rPr>
                <w:sz w:val="22"/>
                <w:szCs w:val="22"/>
              </w:rPr>
              <w:t>- ADR Committee</w:t>
            </w:r>
            <w:r w:rsidR="00D52790" w:rsidRPr="00137840">
              <w:rPr>
                <w:sz w:val="22"/>
                <w:szCs w:val="22"/>
              </w:rPr>
              <w:t>.</w:t>
            </w:r>
          </w:p>
          <w:p w14:paraId="79CB813B" w14:textId="77777777" w:rsidR="00A26838" w:rsidRPr="00137840" w:rsidRDefault="00A26838" w:rsidP="00A26838">
            <w:pPr>
              <w:numPr>
                <w:ilvl w:val="0"/>
                <w:numId w:val="8"/>
              </w:numPr>
              <w:spacing w:line="276" w:lineRule="auto"/>
              <w:jc w:val="both"/>
              <w:rPr>
                <w:sz w:val="22"/>
                <w:szCs w:val="22"/>
              </w:rPr>
            </w:pPr>
            <w:r w:rsidRPr="00137840">
              <w:rPr>
                <w:sz w:val="22"/>
                <w:szCs w:val="22"/>
              </w:rPr>
              <w:t xml:space="preserve">New York State Bar Association (NYSBA) Madrid Chapter. </w:t>
            </w:r>
          </w:p>
          <w:p w14:paraId="0F29B2B1" w14:textId="77777777" w:rsidR="00A26838" w:rsidRPr="00137840" w:rsidRDefault="00A26838" w:rsidP="00A26838">
            <w:pPr>
              <w:spacing w:line="276" w:lineRule="auto"/>
              <w:ind w:left="360"/>
              <w:jc w:val="both"/>
              <w:rPr>
                <w:sz w:val="22"/>
                <w:szCs w:val="22"/>
              </w:rPr>
            </w:pPr>
          </w:p>
        </w:tc>
      </w:tr>
    </w:tbl>
    <w:p w14:paraId="4968D691" w14:textId="77777777" w:rsidR="007944C4" w:rsidRPr="008366D8" w:rsidRDefault="007944C4" w:rsidP="007944C4">
      <w:pPr>
        <w:ind w:left="567" w:right="252"/>
        <w:rPr>
          <w:color w:val="000000"/>
          <w:sz w:val="22"/>
          <w:szCs w:val="22"/>
        </w:rPr>
      </w:pPr>
    </w:p>
    <w:sectPr w:rsidR="007944C4" w:rsidRPr="008366D8" w:rsidSect="00524923">
      <w:headerReference w:type="default" r:id="rId9"/>
      <w:footerReference w:type="default" r:id="rId10"/>
      <w:pgSz w:w="11900" w:h="16840"/>
      <w:pgMar w:top="1008" w:right="1008" w:bottom="1008" w:left="1440" w:header="41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278B" w14:textId="77777777" w:rsidR="00870BBD" w:rsidRDefault="00870BBD" w:rsidP="00CB41AE">
      <w:r>
        <w:separator/>
      </w:r>
    </w:p>
  </w:endnote>
  <w:endnote w:type="continuationSeparator" w:id="0">
    <w:p w14:paraId="6D24B895" w14:textId="77777777" w:rsidR="00870BBD" w:rsidRDefault="00870BBD" w:rsidP="00CB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6214" w14:textId="77777777" w:rsidR="00C93776" w:rsidRPr="00C93776" w:rsidRDefault="00C93776" w:rsidP="00C93776">
    <w:pPr>
      <w:pStyle w:val="Footer"/>
      <w:jc w:val="center"/>
      <w:rPr>
        <w:i/>
        <w:iCs/>
        <w:sz w:val="16"/>
        <w:szCs w:val="16"/>
      </w:rPr>
    </w:pPr>
    <w:r w:rsidRPr="00C93776">
      <w:rPr>
        <w:i/>
        <w:iCs/>
        <w:sz w:val="16"/>
        <w:szCs w:val="16"/>
        <w:lang w:val="en-GB"/>
      </w:rPr>
      <w:t xml:space="preserve">Page </w:t>
    </w:r>
    <w:r w:rsidRPr="00C93776">
      <w:rPr>
        <w:i/>
        <w:iCs/>
        <w:sz w:val="16"/>
        <w:szCs w:val="16"/>
        <w:lang w:val="en-GB"/>
      </w:rPr>
      <w:fldChar w:fldCharType="begin"/>
    </w:r>
    <w:r w:rsidRPr="00C93776">
      <w:rPr>
        <w:i/>
        <w:iCs/>
        <w:sz w:val="16"/>
        <w:szCs w:val="16"/>
        <w:lang w:val="en-GB"/>
      </w:rPr>
      <w:instrText xml:space="preserve"> PAGE </w:instrText>
    </w:r>
    <w:r w:rsidRPr="00C93776">
      <w:rPr>
        <w:i/>
        <w:iCs/>
        <w:sz w:val="16"/>
        <w:szCs w:val="16"/>
        <w:lang w:val="en-GB"/>
      </w:rPr>
      <w:fldChar w:fldCharType="separate"/>
    </w:r>
    <w:r w:rsidRPr="00C93776">
      <w:rPr>
        <w:i/>
        <w:iCs/>
        <w:noProof/>
        <w:sz w:val="16"/>
        <w:szCs w:val="16"/>
        <w:lang w:val="en-GB"/>
      </w:rPr>
      <w:t>1</w:t>
    </w:r>
    <w:r w:rsidRPr="00C93776">
      <w:rPr>
        <w:i/>
        <w:iCs/>
        <w:sz w:val="16"/>
        <w:szCs w:val="16"/>
        <w:lang w:val="en-GB"/>
      </w:rPr>
      <w:fldChar w:fldCharType="end"/>
    </w:r>
    <w:r w:rsidRPr="00C93776">
      <w:rPr>
        <w:i/>
        <w:iCs/>
        <w:sz w:val="16"/>
        <w:szCs w:val="16"/>
        <w:lang w:val="en-GB"/>
      </w:rPr>
      <w:t xml:space="preserve"> of </w:t>
    </w:r>
    <w:r w:rsidRPr="00C93776">
      <w:rPr>
        <w:i/>
        <w:iCs/>
        <w:sz w:val="16"/>
        <w:szCs w:val="16"/>
        <w:lang w:val="en-GB"/>
      </w:rPr>
      <w:fldChar w:fldCharType="begin"/>
    </w:r>
    <w:r w:rsidRPr="00C93776">
      <w:rPr>
        <w:i/>
        <w:iCs/>
        <w:sz w:val="16"/>
        <w:szCs w:val="16"/>
        <w:lang w:val="en-GB"/>
      </w:rPr>
      <w:instrText xml:space="preserve"> NUMPAGES </w:instrText>
    </w:r>
    <w:r w:rsidRPr="00C93776">
      <w:rPr>
        <w:i/>
        <w:iCs/>
        <w:sz w:val="16"/>
        <w:szCs w:val="16"/>
        <w:lang w:val="en-GB"/>
      </w:rPr>
      <w:fldChar w:fldCharType="separate"/>
    </w:r>
    <w:r w:rsidRPr="00C93776">
      <w:rPr>
        <w:i/>
        <w:iCs/>
        <w:noProof/>
        <w:sz w:val="16"/>
        <w:szCs w:val="16"/>
        <w:lang w:val="en-GB"/>
      </w:rPr>
      <w:t>2</w:t>
    </w:r>
    <w:r w:rsidRPr="00C93776">
      <w:rPr>
        <w:i/>
        <w:iCs/>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4F82" w14:textId="77777777" w:rsidR="00870BBD" w:rsidRDefault="00870BBD" w:rsidP="00CB41AE">
      <w:r>
        <w:separator/>
      </w:r>
    </w:p>
  </w:footnote>
  <w:footnote w:type="continuationSeparator" w:id="0">
    <w:p w14:paraId="0682714E" w14:textId="77777777" w:rsidR="00870BBD" w:rsidRDefault="00870BBD" w:rsidP="00CB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FF9D" w14:textId="77777777" w:rsidR="00524923" w:rsidRPr="00524923" w:rsidRDefault="00524923" w:rsidP="00524923">
    <w:pPr>
      <w:pStyle w:val="Header"/>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1994"/>
    <w:multiLevelType w:val="hybridMultilevel"/>
    <w:tmpl w:val="6234E5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4F6481"/>
    <w:multiLevelType w:val="hybridMultilevel"/>
    <w:tmpl w:val="5D2CDD14"/>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049B7"/>
    <w:multiLevelType w:val="hybridMultilevel"/>
    <w:tmpl w:val="8C064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681B3D"/>
    <w:multiLevelType w:val="hybridMultilevel"/>
    <w:tmpl w:val="73983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A0C0C"/>
    <w:multiLevelType w:val="hybridMultilevel"/>
    <w:tmpl w:val="41745828"/>
    <w:lvl w:ilvl="0" w:tplc="4FBC38B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CD4DEA"/>
    <w:multiLevelType w:val="hybridMultilevel"/>
    <w:tmpl w:val="A63262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F95AEC"/>
    <w:multiLevelType w:val="hybridMultilevel"/>
    <w:tmpl w:val="8C064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48240C"/>
    <w:multiLevelType w:val="hybridMultilevel"/>
    <w:tmpl w:val="915E41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118D4"/>
    <w:multiLevelType w:val="hybridMultilevel"/>
    <w:tmpl w:val="8C064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FC3B0E"/>
    <w:multiLevelType w:val="hybridMultilevel"/>
    <w:tmpl w:val="EF32D42A"/>
    <w:lvl w:ilvl="0" w:tplc="B41C416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428D4"/>
    <w:multiLevelType w:val="hybridMultilevel"/>
    <w:tmpl w:val="8C064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E02FE6"/>
    <w:multiLevelType w:val="hybridMultilevel"/>
    <w:tmpl w:val="7D00E37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6A4383"/>
    <w:multiLevelType w:val="hybridMultilevel"/>
    <w:tmpl w:val="8C064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2B3E46"/>
    <w:multiLevelType w:val="hybridMultilevel"/>
    <w:tmpl w:val="8FA881B0"/>
    <w:lvl w:ilvl="0" w:tplc="1624D336">
      <w:start w:val="6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B1866"/>
    <w:multiLevelType w:val="hybridMultilevel"/>
    <w:tmpl w:val="5D2CDD14"/>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62575C"/>
    <w:multiLevelType w:val="hybridMultilevel"/>
    <w:tmpl w:val="5C4656B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50599"/>
    <w:multiLevelType w:val="hybridMultilevel"/>
    <w:tmpl w:val="915E4112"/>
    <w:lvl w:ilvl="0" w:tplc="937EC42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B507E7"/>
    <w:multiLevelType w:val="hybridMultilevel"/>
    <w:tmpl w:val="A53C75E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4D5CDD"/>
    <w:multiLevelType w:val="hybridMultilevel"/>
    <w:tmpl w:val="4058B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63E91"/>
    <w:multiLevelType w:val="hybridMultilevel"/>
    <w:tmpl w:val="41745828"/>
    <w:lvl w:ilvl="0" w:tplc="4FBC38B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B1156A"/>
    <w:multiLevelType w:val="hybridMultilevel"/>
    <w:tmpl w:val="8AE85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5A4D66"/>
    <w:multiLevelType w:val="hybridMultilevel"/>
    <w:tmpl w:val="E41EFF6C"/>
    <w:lvl w:ilvl="0" w:tplc="EAD6A22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5F646D"/>
    <w:multiLevelType w:val="hybridMultilevel"/>
    <w:tmpl w:val="C784B016"/>
    <w:lvl w:ilvl="0" w:tplc="1624D336">
      <w:start w:val="638"/>
      <w:numFmt w:val="bullet"/>
      <w:lvlText w:val="•"/>
      <w:lvlJc w:val="left"/>
      <w:pPr>
        <w:ind w:left="72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1624D336">
      <w:start w:val="638"/>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068539">
    <w:abstractNumId w:val="2"/>
  </w:num>
  <w:num w:numId="2" w16cid:durableId="666009345">
    <w:abstractNumId w:val="8"/>
  </w:num>
  <w:num w:numId="3" w16cid:durableId="1536889151">
    <w:abstractNumId w:val="0"/>
  </w:num>
  <w:num w:numId="4" w16cid:durableId="1420247237">
    <w:abstractNumId w:val="20"/>
  </w:num>
  <w:num w:numId="5" w16cid:durableId="780221574">
    <w:abstractNumId w:val="5"/>
  </w:num>
  <w:num w:numId="6" w16cid:durableId="2039089041">
    <w:abstractNumId w:val="10"/>
  </w:num>
  <w:num w:numId="7" w16cid:durableId="380180783">
    <w:abstractNumId w:val="6"/>
  </w:num>
  <w:num w:numId="8" w16cid:durableId="2055617895">
    <w:abstractNumId w:val="3"/>
  </w:num>
  <w:num w:numId="9" w16cid:durableId="708146264">
    <w:abstractNumId w:val="4"/>
  </w:num>
  <w:num w:numId="10" w16cid:durableId="2100829121">
    <w:abstractNumId w:val="18"/>
  </w:num>
  <w:num w:numId="11" w16cid:durableId="1219702995">
    <w:abstractNumId w:val="19"/>
  </w:num>
  <w:num w:numId="12" w16cid:durableId="1606694473">
    <w:abstractNumId w:val="12"/>
  </w:num>
  <w:num w:numId="13" w16cid:durableId="1425879416">
    <w:abstractNumId w:val="9"/>
  </w:num>
  <w:num w:numId="14" w16cid:durableId="426384894">
    <w:abstractNumId w:val="21"/>
  </w:num>
  <w:num w:numId="15" w16cid:durableId="1858305129">
    <w:abstractNumId w:val="16"/>
  </w:num>
  <w:num w:numId="16" w16cid:durableId="1434783752">
    <w:abstractNumId w:val="14"/>
  </w:num>
  <w:num w:numId="17" w16cid:durableId="885796657">
    <w:abstractNumId w:val="17"/>
  </w:num>
  <w:num w:numId="18" w16cid:durableId="1539926454">
    <w:abstractNumId w:val="22"/>
  </w:num>
  <w:num w:numId="19" w16cid:durableId="1571698701">
    <w:abstractNumId w:val="15"/>
  </w:num>
  <w:num w:numId="20" w16cid:durableId="1561136384">
    <w:abstractNumId w:val="13"/>
  </w:num>
  <w:num w:numId="21" w16cid:durableId="766968808">
    <w:abstractNumId w:val="11"/>
  </w:num>
  <w:num w:numId="22" w16cid:durableId="149566541">
    <w:abstractNumId w:val="7"/>
  </w:num>
  <w:num w:numId="23" w16cid:durableId="143255320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C"/>
    <w:rsid w:val="00001AAE"/>
    <w:rsid w:val="0000306C"/>
    <w:rsid w:val="00005EA0"/>
    <w:rsid w:val="00020B02"/>
    <w:rsid w:val="00021C17"/>
    <w:rsid w:val="00026433"/>
    <w:rsid w:val="00035039"/>
    <w:rsid w:val="00036825"/>
    <w:rsid w:val="00036BB4"/>
    <w:rsid w:val="00037FCA"/>
    <w:rsid w:val="00041AEE"/>
    <w:rsid w:val="0004243D"/>
    <w:rsid w:val="00044439"/>
    <w:rsid w:val="00044783"/>
    <w:rsid w:val="0004720C"/>
    <w:rsid w:val="00050533"/>
    <w:rsid w:val="00054C64"/>
    <w:rsid w:val="0005697A"/>
    <w:rsid w:val="00061886"/>
    <w:rsid w:val="00073B9C"/>
    <w:rsid w:val="00080E43"/>
    <w:rsid w:val="00081FEA"/>
    <w:rsid w:val="000825A6"/>
    <w:rsid w:val="00083EB8"/>
    <w:rsid w:val="00087144"/>
    <w:rsid w:val="00092365"/>
    <w:rsid w:val="000A2EC4"/>
    <w:rsid w:val="000A38E6"/>
    <w:rsid w:val="000A5CC3"/>
    <w:rsid w:val="000B2902"/>
    <w:rsid w:val="000B3720"/>
    <w:rsid w:val="000B4E55"/>
    <w:rsid w:val="000C5621"/>
    <w:rsid w:val="000D0C59"/>
    <w:rsid w:val="000D2463"/>
    <w:rsid w:val="000D34FF"/>
    <w:rsid w:val="000E0888"/>
    <w:rsid w:val="000E18DF"/>
    <w:rsid w:val="000E3785"/>
    <w:rsid w:val="000E3E74"/>
    <w:rsid w:val="000F1B99"/>
    <w:rsid w:val="000F4606"/>
    <w:rsid w:val="000F71F0"/>
    <w:rsid w:val="0010661F"/>
    <w:rsid w:val="001150BF"/>
    <w:rsid w:val="00115C43"/>
    <w:rsid w:val="00116386"/>
    <w:rsid w:val="001212AE"/>
    <w:rsid w:val="00121D34"/>
    <w:rsid w:val="00130290"/>
    <w:rsid w:val="00130868"/>
    <w:rsid w:val="00133FB7"/>
    <w:rsid w:val="00137840"/>
    <w:rsid w:val="001468C0"/>
    <w:rsid w:val="001507BD"/>
    <w:rsid w:val="00157CE3"/>
    <w:rsid w:val="00161D44"/>
    <w:rsid w:val="00177A8A"/>
    <w:rsid w:val="00181B5E"/>
    <w:rsid w:val="00181F45"/>
    <w:rsid w:val="00184880"/>
    <w:rsid w:val="001850D4"/>
    <w:rsid w:val="00186BC1"/>
    <w:rsid w:val="00191B63"/>
    <w:rsid w:val="00193659"/>
    <w:rsid w:val="001950D6"/>
    <w:rsid w:val="001A4EA7"/>
    <w:rsid w:val="001B0DEE"/>
    <w:rsid w:val="001B7809"/>
    <w:rsid w:val="001C30F1"/>
    <w:rsid w:val="001C3C17"/>
    <w:rsid w:val="001C3CDE"/>
    <w:rsid w:val="001D0222"/>
    <w:rsid w:val="001D3114"/>
    <w:rsid w:val="001D545C"/>
    <w:rsid w:val="001D5BB0"/>
    <w:rsid w:val="001E42FA"/>
    <w:rsid w:val="001F0EE8"/>
    <w:rsid w:val="001F2F5D"/>
    <w:rsid w:val="002007E0"/>
    <w:rsid w:val="00205BFF"/>
    <w:rsid w:val="002132E7"/>
    <w:rsid w:val="00222B94"/>
    <w:rsid w:val="0022691A"/>
    <w:rsid w:val="002328AC"/>
    <w:rsid w:val="00235305"/>
    <w:rsid w:val="00235D60"/>
    <w:rsid w:val="00237873"/>
    <w:rsid w:val="002460E0"/>
    <w:rsid w:val="00255C6B"/>
    <w:rsid w:val="00257D74"/>
    <w:rsid w:val="00261C5E"/>
    <w:rsid w:val="00271CA9"/>
    <w:rsid w:val="002812C3"/>
    <w:rsid w:val="00281302"/>
    <w:rsid w:val="00284E79"/>
    <w:rsid w:val="00292F7F"/>
    <w:rsid w:val="0029718C"/>
    <w:rsid w:val="00297AA1"/>
    <w:rsid w:val="002A3DA2"/>
    <w:rsid w:val="002B7CA9"/>
    <w:rsid w:val="002C124A"/>
    <w:rsid w:val="002C3510"/>
    <w:rsid w:val="002D3341"/>
    <w:rsid w:val="002D34C1"/>
    <w:rsid w:val="002D72B3"/>
    <w:rsid w:val="002E7ECB"/>
    <w:rsid w:val="002F0031"/>
    <w:rsid w:val="002F151A"/>
    <w:rsid w:val="002F3CBF"/>
    <w:rsid w:val="002F57B9"/>
    <w:rsid w:val="002F6444"/>
    <w:rsid w:val="00307CF4"/>
    <w:rsid w:val="00310E6A"/>
    <w:rsid w:val="00314A3D"/>
    <w:rsid w:val="00320F94"/>
    <w:rsid w:val="0033052C"/>
    <w:rsid w:val="00333A20"/>
    <w:rsid w:val="00333BE6"/>
    <w:rsid w:val="003376D3"/>
    <w:rsid w:val="003521B5"/>
    <w:rsid w:val="003526B7"/>
    <w:rsid w:val="00352904"/>
    <w:rsid w:val="00353EA7"/>
    <w:rsid w:val="003605D1"/>
    <w:rsid w:val="003631A0"/>
    <w:rsid w:val="00364AD5"/>
    <w:rsid w:val="00372792"/>
    <w:rsid w:val="00374388"/>
    <w:rsid w:val="00377B54"/>
    <w:rsid w:val="00380E7F"/>
    <w:rsid w:val="00383220"/>
    <w:rsid w:val="0038507E"/>
    <w:rsid w:val="00391659"/>
    <w:rsid w:val="00391701"/>
    <w:rsid w:val="003930B4"/>
    <w:rsid w:val="003A3547"/>
    <w:rsid w:val="003A617D"/>
    <w:rsid w:val="003A64A9"/>
    <w:rsid w:val="003A74CF"/>
    <w:rsid w:val="003B2530"/>
    <w:rsid w:val="003B336E"/>
    <w:rsid w:val="003B67E5"/>
    <w:rsid w:val="003C5CDA"/>
    <w:rsid w:val="003D29BD"/>
    <w:rsid w:val="003D7D83"/>
    <w:rsid w:val="003E16C7"/>
    <w:rsid w:val="003E231C"/>
    <w:rsid w:val="003E6BE0"/>
    <w:rsid w:val="003F5C87"/>
    <w:rsid w:val="0040029E"/>
    <w:rsid w:val="00401DB3"/>
    <w:rsid w:val="00405C21"/>
    <w:rsid w:val="00411B60"/>
    <w:rsid w:val="00412C00"/>
    <w:rsid w:val="00417FC5"/>
    <w:rsid w:val="0042395D"/>
    <w:rsid w:val="00436054"/>
    <w:rsid w:val="00436DF1"/>
    <w:rsid w:val="00437387"/>
    <w:rsid w:val="00443510"/>
    <w:rsid w:val="004439FB"/>
    <w:rsid w:val="0044722F"/>
    <w:rsid w:val="00450214"/>
    <w:rsid w:val="00462CE8"/>
    <w:rsid w:val="00465856"/>
    <w:rsid w:val="004666D3"/>
    <w:rsid w:val="00467027"/>
    <w:rsid w:val="00470FEF"/>
    <w:rsid w:val="00472F0C"/>
    <w:rsid w:val="00480803"/>
    <w:rsid w:val="004829F7"/>
    <w:rsid w:val="004855FD"/>
    <w:rsid w:val="00491A2F"/>
    <w:rsid w:val="004958D7"/>
    <w:rsid w:val="004A18D4"/>
    <w:rsid w:val="004A30F0"/>
    <w:rsid w:val="004A379F"/>
    <w:rsid w:val="004A5D54"/>
    <w:rsid w:val="004B5E1B"/>
    <w:rsid w:val="004C2C61"/>
    <w:rsid w:val="004D50C6"/>
    <w:rsid w:val="004D641F"/>
    <w:rsid w:val="004F2B18"/>
    <w:rsid w:val="004F65C3"/>
    <w:rsid w:val="0050399A"/>
    <w:rsid w:val="0050730A"/>
    <w:rsid w:val="00510A0A"/>
    <w:rsid w:val="0051104C"/>
    <w:rsid w:val="005123C1"/>
    <w:rsid w:val="005129C2"/>
    <w:rsid w:val="005157A2"/>
    <w:rsid w:val="00521018"/>
    <w:rsid w:val="00524923"/>
    <w:rsid w:val="00530CD7"/>
    <w:rsid w:val="00536EE2"/>
    <w:rsid w:val="005427E3"/>
    <w:rsid w:val="005443FB"/>
    <w:rsid w:val="005445F2"/>
    <w:rsid w:val="005447DE"/>
    <w:rsid w:val="005522A1"/>
    <w:rsid w:val="0055245A"/>
    <w:rsid w:val="00560D8F"/>
    <w:rsid w:val="00563E75"/>
    <w:rsid w:val="0056588D"/>
    <w:rsid w:val="00566DC1"/>
    <w:rsid w:val="00567E75"/>
    <w:rsid w:val="005702BB"/>
    <w:rsid w:val="00570E87"/>
    <w:rsid w:val="00572BD8"/>
    <w:rsid w:val="00590ED9"/>
    <w:rsid w:val="0059210F"/>
    <w:rsid w:val="00594932"/>
    <w:rsid w:val="00597104"/>
    <w:rsid w:val="005A0E2C"/>
    <w:rsid w:val="005B1FF7"/>
    <w:rsid w:val="005B2A13"/>
    <w:rsid w:val="005B69C0"/>
    <w:rsid w:val="005C7CF2"/>
    <w:rsid w:val="005D2C76"/>
    <w:rsid w:val="005D52F7"/>
    <w:rsid w:val="005E4957"/>
    <w:rsid w:val="005E70AB"/>
    <w:rsid w:val="005F22F3"/>
    <w:rsid w:val="006037DF"/>
    <w:rsid w:val="00605B73"/>
    <w:rsid w:val="0061252E"/>
    <w:rsid w:val="00614061"/>
    <w:rsid w:val="00615BF3"/>
    <w:rsid w:val="00642F4D"/>
    <w:rsid w:val="00650410"/>
    <w:rsid w:val="00651CA8"/>
    <w:rsid w:val="00656AC7"/>
    <w:rsid w:val="00656BF9"/>
    <w:rsid w:val="00660B7E"/>
    <w:rsid w:val="00662461"/>
    <w:rsid w:val="00663393"/>
    <w:rsid w:val="00672D8C"/>
    <w:rsid w:val="00672ED0"/>
    <w:rsid w:val="006731E4"/>
    <w:rsid w:val="00685240"/>
    <w:rsid w:val="00691935"/>
    <w:rsid w:val="0069341E"/>
    <w:rsid w:val="006941E2"/>
    <w:rsid w:val="006A6BF3"/>
    <w:rsid w:val="006B0F6F"/>
    <w:rsid w:val="006B2850"/>
    <w:rsid w:val="006C0624"/>
    <w:rsid w:val="006C1D4F"/>
    <w:rsid w:val="006C2101"/>
    <w:rsid w:val="006C22A3"/>
    <w:rsid w:val="006C59CF"/>
    <w:rsid w:val="006C716A"/>
    <w:rsid w:val="006C7CBE"/>
    <w:rsid w:val="006D1B87"/>
    <w:rsid w:val="006D4176"/>
    <w:rsid w:val="006D5F23"/>
    <w:rsid w:val="006D74CD"/>
    <w:rsid w:val="006E01A8"/>
    <w:rsid w:val="006E126E"/>
    <w:rsid w:val="006E2748"/>
    <w:rsid w:val="006E31A0"/>
    <w:rsid w:val="006E473C"/>
    <w:rsid w:val="006F3564"/>
    <w:rsid w:val="006F51E0"/>
    <w:rsid w:val="00702FFC"/>
    <w:rsid w:val="00706647"/>
    <w:rsid w:val="0070787A"/>
    <w:rsid w:val="007165BA"/>
    <w:rsid w:val="007211F6"/>
    <w:rsid w:val="00721E74"/>
    <w:rsid w:val="00725868"/>
    <w:rsid w:val="00727ACC"/>
    <w:rsid w:val="00730922"/>
    <w:rsid w:val="00731E0F"/>
    <w:rsid w:val="00741B74"/>
    <w:rsid w:val="00745B0A"/>
    <w:rsid w:val="00746279"/>
    <w:rsid w:val="007472DB"/>
    <w:rsid w:val="0075456D"/>
    <w:rsid w:val="007550D5"/>
    <w:rsid w:val="007601DD"/>
    <w:rsid w:val="00761C90"/>
    <w:rsid w:val="00766C70"/>
    <w:rsid w:val="00770776"/>
    <w:rsid w:val="007708D7"/>
    <w:rsid w:val="00770C78"/>
    <w:rsid w:val="00777E07"/>
    <w:rsid w:val="0078019B"/>
    <w:rsid w:val="00783D90"/>
    <w:rsid w:val="00787429"/>
    <w:rsid w:val="00792D44"/>
    <w:rsid w:val="007944C4"/>
    <w:rsid w:val="0079541E"/>
    <w:rsid w:val="00795511"/>
    <w:rsid w:val="007A0D34"/>
    <w:rsid w:val="007A1509"/>
    <w:rsid w:val="007A3CE4"/>
    <w:rsid w:val="007A5061"/>
    <w:rsid w:val="007A7046"/>
    <w:rsid w:val="007A791F"/>
    <w:rsid w:val="007B4A81"/>
    <w:rsid w:val="007C4CFC"/>
    <w:rsid w:val="007D1198"/>
    <w:rsid w:val="007D7DF5"/>
    <w:rsid w:val="007E29CB"/>
    <w:rsid w:val="007F0741"/>
    <w:rsid w:val="007F5179"/>
    <w:rsid w:val="007F6E22"/>
    <w:rsid w:val="0080300A"/>
    <w:rsid w:val="008055B5"/>
    <w:rsid w:val="008120D5"/>
    <w:rsid w:val="00812582"/>
    <w:rsid w:val="00812917"/>
    <w:rsid w:val="0081383B"/>
    <w:rsid w:val="00814B30"/>
    <w:rsid w:val="00820D5E"/>
    <w:rsid w:val="0082338D"/>
    <w:rsid w:val="008247D6"/>
    <w:rsid w:val="008250A4"/>
    <w:rsid w:val="00827086"/>
    <w:rsid w:val="008366D8"/>
    <w:rsid w:val="008368DF"/>
    <w:rsid w:val="0083753F"/>
    <w:rsid w:val="00841C25"/>
    <w:rsid w:val="00844956"/>
    <w:rsid w:val="00847703"/>
    <w:rsid w:val="008503EE"/>
    <w:rsid w:val="008539F5"/>
    <w:rsid w:val="008552E8"/>
    <w:rsid w:val="008575FD"/>
    <w:rsid w:val="0086046E"/>
    <w:rsid w:val="0086142C"/>
    <w:rsid w:val="00861810"/>
    <w:rsid w:val="00863DD8"/>
    <w:rsid w:val="00865248"/>
    <w:rsid w:val="00870BBD"/>
    <w:rsid w:val="0087204C"/>
    <w:rsid w:val="00881C89"/>
    <w:rsid w:val="0088483D"/>
    <w:rsid w:val="00885DCA"/>
    <w:rsid w:val="00887F98"/>
    <w:rsid w:val="008911F5"/>
    <w:rsid w:val="00891B0D"/>
    <w:rsid w:val="00894514"/>
    <w:rsid w:val="008A0182"/>
    <w:rsid w:val="008A1C6E"/>
    <w:rsid w:val="008A30A5"/>
    <w:rsid w:val="008A51CC"/>
    <w:rsid w:val="008A6732"/>
    <w:rsid w:val="008A7A27"/>
    <w:rsid w:val="008B038F"/>
    <w:rsid w:val="008C0023"/>
    <w:rsid w:val="008C1372"/>
    <w:rsid w:val="008C53CB"/>
    <w:rsid w:val="008C70DC"/>
    <w:rsid w:val="008C734D"/>
    <w:rsid w:val="008D61FA"/>
    <w:rsid w:val="008E54E2"/>
    <w:rsid w:val="008E5FF7"/>
    <w:rsid w:val="008F2047"/>
    <w:rsid w:val="008F4934"/>
    <w:rsid w:val="0090217A"/>
    <w:rsid w:val="009021C3"/>
    <w:rsid w:val="00904279"/>
    <w:rsid w:val="00905712"/>
    <w:rsid w:val="009064C0"/>
    <w:rsid w:val="00913A5E"/>
    <w:rsid w:val="00932A2C"/>
    <w:rsid w:val="009337F2"/>
    <w:rsid w:val="00936EE9"/>
    <w:rsid w:val="0094385E"/>
    <w:rsid w:val="009440F9"/>
    <w:rsid w:val="009457D0"/>
    <w:rsid w:val="00956D40"/>
    <w:rsid w:val="009637DA"/>
    <w:rsid w:val="00967B72"/>
    <w:rsid w:val="00972C69"/>
    <w:rsid w:val="00986F5D"/>
    <w:rsid w:val="00991040"/>
    <w:rsid w:val="009912A1"/>
    <w:rsid w:val="00994357"/>
    <w:rsid w:val="009A1752"/>
    <w:rsid w:val="009A6813"/>
    <w:rsid w:val="009B0474"/>
    <w:rsid w:val="009B0672"/>
    <w:rsid w:val="009B179D"/>
    <w:rsid w:val="009C14F8"/>
    <w:rsid w:val="009C184C"/>
    <w:rsid w:val="009D3770"/>
    <w:rsid w:val="009D62E4"/>
    <w:rsid w:val="009D6575"/>
    <w:rsid w:val="009E3169"/>
    <w:rsid w:val="009F64C3"/>
    <w:rsid w:val="00A0075A"/>
    <w:rsid w:val="00A0672E"/>
    <w:rsid w:val="00A22CD3"/>
    <w:rsid w:val="00A26838"/>
    <w:rsid w:val="00A32542"/>
    <w:rsid w:val="00A36203"/>
    <w:rsid w:val="00A42E77"/>
    <w:rsid w:val="00A47E96"/>
    <w:rsid w:val="00A50F24"/>
    <w:rsid w:val="00A5315C"/>
    <w:rsid w:val="00A53222"/>
    <w:rsid w:val="00A533B8"/>
    <w:rsid w:val="00A57659"/>
    <w:rsid w:val="00A7468A"/>
    <w:rsid w:val="00A765DD"/>
    <w:rsid w:val="00A81D45"/>
    <w:rsid w:val="00A87280"/>
    <w:rsid w:val="00A90433"/>
    <w:rsid w:val="00AA4908"/>
    <w:rsid w:val="00AB0556"/>
    <w:rsid w:val="00AB6FF7"/>
    <w:rsid w:val="00AC1164"/>
    <w:rsid w:val="00AE197F"/>
    <w:rsid w:val="00AE4DC6"/>
    <w:rsid w:val="00AE5C3A"/>
    <w:rsid w:val="00AE5CC8"/>
    <w:rsid w:val="00B00DB0"/>
    <w:rsid w:val="00B035DF"/>
    <w:rsid w:val="00B05839"/>
    <w:rsid w:val="00B1465F"/>
    <w:rsid w:val="00B308F1"/>
    <w:rsid w:val="00B340BC"/>
    <w:rsid w:val="00B34A6F"/>
    <w:rsid w:val="00B37967"/>
    <w:rsid w:val="00B40545"/>
    <w:rsid w:val="00B40DA3"/>
    <w:rsid w:val="00B412C9"/>
    <w:rsid w:val="00B45AC7"/>
    <w:rsid w:val="00B4748C"/>
    <w:rsid w:val="00B52381"/>
    <w:rsid w:val="00B5682C"/>
    <w:rsid w:val="00B643CA"/>
    <w:rsid w:val="00B70A1D"/>
    <w:rsid w:val="00B70C11"/>
    <w:rsid w:val="00B721C4"/>
    <w:rsid w:val="00B746B2"/>
    <w:rsid w:val="00B819A0"/>
    <w:rsid w:val="00B87C7A"/>
    <w:rsid w:val="00B9028B"/>
    <w:rsid w:val="00B90582"/>
    <w:rsid w:val="00B92088"/>
    <w:rsid w:val="00B92AF8"/>
    <w:rsid w:val="00B948EE"/>
    <w:rsid w:val="00B97A86"/>
    <w:rsid w:val="00B97DB9"/>
    <w:rsid w:val="00BA2FF9"/>
    <w:rsid w:val="00BA5A91"/>
    <w:rsid w:val="00BB0EB0"/>
    <w:rsid w:val="00BC14F8"/>
    <w:rsid w:val="00BD5D05"/>
    <w:rsid w:val="00BE0C14"/>
    <w:rsid w:val="00BE2D1A"/>
    <w:rsid w:val="00BE57C7"/>
    <w:rsid w:val="00BE60C2"/>
    <w:rsid w:val="00BF0A8F"/>
    <w:rsid w:val="00C11A80"/>
    <w:rsid w:val="00C15851"/>
    <w:rsid w:val="00C17E92"/>
    <w:rsid w:val="00C2189B"/>
    <w:rsid w:val="00C2194E"/>
    <w:rsid w:val="00C24BD0"/>
    <w:rsid w:val="00C26DFC"/>
    <w:rsid w:val="00C374FE"/>
    <w:rsid w:val="00C42A71"/>
    <w:rsid w:val="00C43C0D"/>
    <w:rsid w:val="00C45945"/>
    <w:rsid w:val="00C539C8"/>
    <w:rsid w:val="00C63C9F"/>
    <w:rsid w:val="00C73BC2"/>
    <w:rsid w:val="00C76768"/>
    <w:rsid w:val="00C77364"/>
    <w:rsid w:val="00C8472E"/>
    <w:rsid w:val="00C92485"/>
    <w:rsid w:val="00C93776"/>
    <w:rsid w:val="00C95824"/>
    <w:rsid w:val="00CA5637"/>
    <w:rsid w:val="00CA74BB"/>
    <w:rsid w:val="00CB0275"/>
    <w:rsid w:val="00CB41AE"/>
    <w:rsid w:val="00CC2C0F"/>
    <w:rsid w:val="00CC6BBD"/>
    <w:rsid w:val="00CD16D8"/>
    <w:rsid w:val="00CD6DEB"/>
    <w:rsid w:val="00CE63D9"/>
    <w:rsid w:val="00CE6B8A"/>
    <w:rsid w:val="00CF05ED"/>
    <w:rsid w:val="00CF0B76"/>
    <w:rsid w:val="00CF3495"/>
    <w:rsid w:val="00D01F8B"/>
    <w:rsid w:val="00D030A2"/>
    <w:rsid w:val="00D04EA2"/>
    <w:rsid w:val="00D066E1"/>
    <w:rsid w:val="00D166C1"/>
    <w:rsid w:val="00D16FB0"/>
    <w:rsid w:val="00D17B02"/>
    <w:rsid w:val="00D17C3F"/>
    <w:rsid w:val="00D208AD"/>
    <w:rsid w:val="00D23130"/>
    <w:rsid w:val="00D3307C"/>
    <w:rsid w:val="00D410C0"/>
    <w:rsid w:val="00D41503"/>
    <w:rsid w:val="00D44E8E"/>
    <w:rsid w:val="00D50664"/>
    <w:rsid w:val="00D50B7E"/>
    <w:rsid w:val="00D51E1A"/>
    <w:rsid w:val="00D52790"/>
    <w:rsid w:val="00D531AF"/>
    <w:rsid w:val="00D67996"/>
    <w:rsid w:val="00D73B53"/>
    <w:rsid w:val="00D80ACC"/>
    <w:rsid w:val="00D8498D"/>
    <w:rsid w:val="00D87E79"/>
    <w:rsid w:val="00D95143"/>
    <w:rsid w:val="00D9710D"/>
    <w:rsid w:val="00DB06AC"/>
    <w:rsid w:val="00DB0A5F"/>
    <w:rsid w:val="00DB1C6B"/>
    <w:rsid w:val="00DB3567"/>
    <w:rsid w:val="00DB4801"/>
    <w:rsid w:val="00DB4F6C"/>
    <w:rsid w:val="00DB5F4B"/>
    <w:rsid w:val="00DB6E70"/>
    <w:rsid w:val="00DC09CC"/>
    <w:rsid w:val="00DC2BF4"/>
    <w:rsid w:val="00DC498F"/>
    <w:rsid w:val="00DD6CCC"/>
    <w:rsid w:val="00DE1EAD"/>
    <w:rsid w:val="00DE44A1"/>
    <w:rsid w:val="00E023B9"/>
    <w:rsid w:val="00E03FA2"/>
    <w:rsid w:val="00E041B5"/>
    <w:rsid w:val="00E0433E"/>
    <w:rsid w:val="00E0546A"/>
    <w:rsid w:val="00E11FEE"/>
    <w:rsid w:val="00E13549"/>
    <w:rsid w:val="00E17218"/>
    <w:rsid w:val="00E209D8"/>
    <w:rsid w:val="00E21297"/>
    <w:rsid w:val="00E35D74"/>
    <w:rsid w:val="00E37370"/>
    <w:rsid w:val="00E45B0B"/>
    <w:rsid w:val="00E45C3B"/>
    <w:rsid w:val="00E46558"/>
    <w:rsid w:val="00E47B5D"/>
    <w:rsid w:val="00E64D6B"/>
    <w:rsid w:val="00E65D80"/>
    <w:rsid w:val="00E65EF5"/>
    <w:rsid w:val="00E675A6"/>
    <w:rsid w:val="00E705C9"/>
    <w:rsid w:val="00E84965"/>
    <w:rsid w:val="00E863D4"/>
    <w:rsid w:val="00E86DE6"/>
    <w:rsid w:val="00EA3B2A"/>
    <w:rsid w:val="00EA44E7"/>
    <w:rsid w:val="00EB3C6D"/>
    <w:rsid w:val="00EB651D"/>
    <w:rsid w:val="00EC3730"/>
    <w:rsid w:val="00ED485C"/>
    <w:rsid w:val="00ED4E41"/>
    <w:rsid w:val="00ED5B13"/>
    <w:rsid w:val="00ED6915"/>
    <w:rsid w:val="00ED7B56"/>
    <w:rsid w:val="00EE00BF"/>
    <w:rsid w:val="00EE476A"/>
    <w:rsid w:val="00EF21F2"/>
    <w:rsid w:val="00EF3C04"/>
    <w:rsid w:val="00EF3F85"/>
    <w:rsid w:val="00EF7A36"/>
    <w:rsid w:val="00F00419"/>
    <w:rsid w:val="00F0064F"/>
    <w:rsid w:val="00F00A58"/>
    <w:rsid w:val="00F11B2B"/>
    <w:rsid w:val="00F14DC0"/>
    <w:rsid w:val="00F164C5"/>
    <w:rsid w:val="00F213E8"/>
    <w:rsid w:val="00F23673"/>
    <w:rsid w:val="00F260E2"/>
    <w:rsid w:val="00F36D34"/>
    <w:rsid w:val="00F402DC"/>
    <w:rsid w:val="00F57758"/>
    <w:rsid w:val="00F64BE5"/>
    <w:rsid w:val="00F64CD4"/>
    <w:rsid w:val="00F671E0"/>
    <w:rsid w:val="00F71FB8"/>
    <w:rsid w:val="00F72B9D"/>
    <w:rsid w:val="00F73B75"/>
    <w:rsid w:val="00F76749"/>
    <w:rsid w:val="00F80D27"/>
    <w:rsid w:val="00F82F30"/>
    <w:rsid w:val="00F85F62"/>
    <w:rsid w:val="00F93EFE"/>
    <w:rsid w:val="00F94BFE"/>
    <w:rsid w:val="00F95F11"/>
    <w:rsid w:val="00FA004B"/>
    <w:rsid w:val="00FA4D30"/>
    <w:rsid w:val="00FA7796"/>
    <w:rsid w:val="00FB2C51"/>
    <w:rsid w:val="00FB5CAB"/>
    <w:rsid w:val="00FC090F"/>
    <w:rsid w:val="00FC0EED"/>
    <w:rsid w:val="00FC12AD"/>
    <w:rsid w:val="00FC3C3A"/>
    <w:rsid w:val="00FC5D82"/>
    <w:rsid w:val="00FD140E"/>
    <w:rsid w:val="00FD1A3B"/>
    <w:rsid w:val="00FD4FDE"/>
    <w:rsid w:val="00FE0B81"/>
    <w:rsid w:val="00FE46C5"/>
    <w:rsid w:val="00FF1A84"/>
    <w:rsid w:val="00FF5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73296"/>
  <w15:chartTrackingRefBased/>
  <w15:docId w15:val="{2DCD63C6-DCF4-5641-85CD-1BDA9D87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F05ED"/>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link w:val="Heading5Char"/>
    <w:uiPriority w:val="9"/>
    <w:qFormat/>
    <w:rsid w:val="000F4606"/>
    <w:pPr>
      <w:spacing w:before="100" w:beforeAutospacing="1" w:after="100" w:afterAutospacing="1"/>
      <w:outlineLvl w:val="4"/>
    </w:pPr>
    <w:rPr>
      <w:rFonts w:eastAsia="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96"/>
    <w:pPr>
      <w:ind w:left="720"/>
    </w:pPr>
  </w:style>
  <w:style w:type="character" w:styleId="Strong">
    <w:name w:val="Strong"/>
    <w:qFormat/>
    <w:rsid w:val="00292F7F"/>
    <w:rPr>
      <w:b/>
      <w:bCs/>
    </w:rPr>
  </w:style>
  <w:style w:type="paragraph" w:styleId="PlainText">
    <w:name w:val="Plain Text"/>
    <w:basedOn w:val="Normal"/>
    <w:link w:val="PlainTextChar"/>
    <w:uiPriority w:val="99"/>
    <w:unhideWhenUsed/>
    <w:rsid w:val="00297AA1"/>
    <w:rPr>
      <w:rFonts w:ascii="Arial" w:hAnsi="Arial"/>
      <w:sz w:val="18"/>
      <w:szCs w:val="18"/>
      <w:lang w:val="x-none" w:eastAsia="x-none"/>
    </w:rPr>
  </w:style>
  <w:style w:type="character" w:customStyle="1" w:styleId="PlainTextChar">
    <w:name w:val="Plain Text Char"/>
    <w:link w:val="PlainText"/>
    <w:uiPriority w:val="99"/>
    <w:rsid w:val="00297AA1"/>
    <w:rPr>
      <w:rFonts w:ascii="Arial" w:eastAsia="SimSun" w:hAnsi="Arial" w:cs="Arial"/>
      <w:sz w:val="18"/>
      <w:szCs w:val="18"/>
    </w:rPr>
  </w:style>
  <w:style w:type="paragraph" w:customStyle="1" w:styleId="CVNameAshurst">
    <w:name w:val="CVNameAshurst"/>
    <w:basedOn w:val="Normal"/>
    <w:next w:val="Normal"/>
    <w:rsid w:val="00297AA1"/>
    <w:pPr>
      <w:keepNext/>
      <w:suppressAutoHyphens/>
      <w:spacing w:line="320" w:lineRule="atLeast"/>
    </w:pPr>
    <w:rPr>
      <w:rFonts w:ascii="Verdana" w:hAnsi="Verdana"/>
      <w:b/>
      <w:lang w:val="en-GB" w:eastAsia="en-GB"/>
    </w:rPr>
  </w:style>
  <w:style w:type="table" w:styleId="TableGrid">
    <w:name w:val="Table Grid"/>
    <w:basedOn w:val="TableNormal"/>
    <w:uiPriority w:val="59"/>
    <w:rsid w:val="00865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4722F"/>
    <w:rPr>
      <w:color w:val="0000FF"/>
      <w:u w:val="single"/>
    </w:rPr>
  </w:style>
  <w:style w:type="paragraph" w:styleId="BalloonText">
    <w:name w:val="Balloon Text"/>
    <w:basedOn w:val="Normal"/>
    <w:link w:val="BalloonTextChar"/>
    <w:uiPriority w:val="99"/>
    <w:semiHidden/>
    <w:unhideWhenUsed/>
    <w:rsid w:val="00CC2C0F"/>
    <w:rPr>
      <w:rFonts w:ascii="Segoe UI" w:hAnsi="Segoe UI"/>
      <w:sz w:val="18"/>
      <w:szCs w:val="18"/>
    </w:rPr>
  </w:style>
  <w:style w:type="character" w:customStyle="1" w:styleId="BalloonTextChar">
    <w:name w:val="Balloon Text Char"/>
    <w:link w:val="BalloonText"/>
    <w:uiPriority w:val="99"/>
    <w:semiHidden/>
    <w:rsid w:val="00CC2C0F"/>
    <w:rPr>
      <w:rFonts w:ascii="Segoe UI" w:hAnsi="Segoe UI" w:cs="Segoe UI"/>
      <w:sz w:val="18"/>
      <w:szCs w:val="18"/>
      <w:lang w:val="en-US" w:eastAsia="en-US"/>
    </w:rPr>
  </w:style>
  <w:style w:type="paragraph" w:styleId="Header">
    <w:name w:val="header"/>
    <w:basedOn w:val="Normal"/>
    <w:link w:val="HeaderChar"/>
    <w:uiPriority w:val="99"/>
    <w:unhideWhenUsed/>
    <w:rsid w:val="00CB41AE"/>
    <w:pPr>
      <w:tabs>
        <w:tab w:val="center" w:pos="4513"/>
        <w:tab w:val="right" w:pos="9026"/>
      </w:tabs>
    </w:pPr>
  </w:style>
  <w:style w:type="character" w:customStyle="1" w:styleId="HeaderChar">
    <w:name w:val="Header Char"/>
    <w:link w:val="Header"/>
    <w:uiPriority w:val="99"/>
    <w:rsid w:val="00CB41AE"/>
    <w:rPr>
      <w:sz w:val="24"/>
      <w:szCs w:val="24"/>
      <w:lang w:val="en-US" w:eastAsia="en-US"/>
    </w:rPr>
  </w:style>
  <w:style w:type="paragraph" w:styleId="Footer">
    <w:name w:val="footer"/>
    <w:basedOn w:val="Normal"/>
    <w:link w:val="FooterChar"/>
    <w:uiPriority w:val="99"/>
    <w:unhideWhenUsed/>
    <w:rsid w:val="00CB41AE"/>
    <w:pPr>
      <w:tabs>
        <w:tab w:val="center" w:pos="4513"/>
        <w:tab w:val="right" w:pos="9026"/>
      </w:tabs>
    </w:pPr>
  </w:style>
  <w:style w:type="character" w:customStyle="1" w:styleId="FooterChar">
    <w:name w:val="Footer Char"/>
    <w:link w:val="Footer"/>
    <w:uiPriority w:val="99"/>
    <w:rsid w:val="00CB41AE"/>
    <w:rPr>
      <w:sz w:val="24"/>
      <w:szCs w:val="24"/>
      <w:lang w:val="en-US" w:eastAsia="en-US"/>
    </w:rPr>
  </w:style>
  <w:style w:type="character" w:customStyle="1" w:styleId="Emphasis6">
    <w:name w:val="Emphasis6"/>
    <w:rsid w:val="007944C4"/>
    <w:rPr>
      <w:i/>
      <w:iCs/>
    </w:rPr>
  </w:style>
  <w:style w:type="character" w:customStyle="1" w:styleId="degree">
    <w:name w:val="degree"/>
    <w:basedOn w:val="DefaultParagraphFont"/>
    <w:rsid w:val="007944C4"/>
  </w:style>
  <w:style w:type="character" w:customStyle="1" w:styleId="major">
    <w:name w:val="major"/>
    <w:basedOn w:val="DefaultParagraphFont"/>
    <w:rsid w:val="007944C4"/>
  </w:style>
  <w:style w:type="paragraph" w:styleId="NormalWeb">
    <w:name w:val="Normal (Web)"/>
    <w:basedOn w:val="Normal"/>
    <w:uiPriority w:val="99"/>
    <w:unhideWhenUsed/>
    <w:rsid w:val="00567E75"/>
    <w:pPr>
      <w:spacing w:before="100" w:beforeAutospacing="1" w:after="100" w:afterAutospacing="1"/>
    </w:pPr>
    <w:rPr>
      <w:rFonts w:eastAsia="Times New Roman"/>
      <w:lang w:eastAsia="en-GB"/>
    </w:rPr>
  </w:style>
  <w:style w:type="character" w:customStyle="1" w:styleId="orgsummary">
    <w:name w:val="org summary"/>
    <w:basedOn w:val="DefaultParagraphFont"/>
    <w:rsid w:val="00567E75"/>
  </w:style>
  <w:style w:type="character" w:customStyle="1" w:styleId="title1">
    <w:name w:val="title1"/>
    <w:basedOn w:val="DefaultParagraphFont"/>
    <w:rsid w:val="00567E75"/>
  </w:style>
  <w:style w:type="paragraph" w:customStyle="1" w:styleId="pv-entitydescription">
    <w:name w:val="pv-entity__description"/>
    <w:basedOn w:val="Normal"/>
    <w:rsid w:val="00D04EA2"/>
    <w:pPr>
      <w:spacing w:before="100" w:beforeAutospacing="1" w:after="100" w:afterAutospacing="1"/>
    </w:pPr>
    <w:rPr>
      <w:rFonts w:eastAsia="Times New Roman"/>
      <w:lang w:val="es-ES"/>
    </w:rPr>
  </w:style>
  <w:style w:type="character" w:customStyle="1" w:styleId="lt-line-clampline">
    <w:name w:val="lt-line-clamp__line"/>
    <w:basedOn w:val="DefaultParagraphFont"/>
    <w:rsid w:val="00D04EA2"/>
  </w:style>
  <w:style w:type="paragraph" w:customStyle="1" w:styleId="NormalWeb11">
    <w:name w:val="Normal (Web)11"/>
    <w:basedOn w:val="Normal"/>
    <w:rsid w:val="00530CD7"/>
    <w:pPr>
      <w:spacing w:before="100" w:beforeAutospacing="1" w:after="100" w:afterAutospacing="1"/>
    </w:pPr>
    <w:rPr>
      <w:rFonts w:eastAsia="Times New Roman"/>
      <w:sz w:val="31"/>
      <w:szCs w:val="31"/>
      <w:lang w:val="en-GB" w:eastAsia="en-GB"/>
    </w:rPr>
  </w:style>
  <w:style w:type="character" w:customStyle="1" w:styleId="Heading5Char">
    <w:name w:val="Heading 5 Char"/>
    <w:link w:val="Heading5"/>
    <w:uiPriority w:val="9"/>
    <w:rsid w:val="000F4606"/>
    <w:rPr>
      <w:rFonts w:eastAsia="Times New Roman"/>
      <w:b/>
      <w:bCs/>
    </w:rPr>
  </w:style>
  <w:style w:type="character" w:customStyle="1" w:styleId="Heading1Char">
    <w:name w:val="Heading 1 Char"/>
    <w:link w:val="Heading1"/>
    <w:uiPriority w:val="9"/>
    <w:rsid w:val="00CF05ED"/>
    <w:rPr>
      <w:rFonts w:ascii="Calibri Light" w:eastAsia="Times New Roman" w:hAnsi="Calibri Light" w:cs="Times New Roman"/>
      <w:b/>
      <w:bCs/>
      <w:kern w:val="32"/>
      <w:sz w:val="32"/>
      <w:szCs w:val="32"/>
      <w:lang w:val="en-US" w:eastAsia="en-US"/>
    </w:rPr>
  </w:style>
  <w:style w:type="character" w:styleId="UnresolvedMention">
    <w:name w:val="Unresolved Mention"/>
    <w:uiPriority w:val="99"/>
    <w:semiHidden/>
    <w:unhideWhenUsed/>
    <w:rsid w:val="00B90582"/>
    <w:rPr>
      <w:color w:val="605E5C"/>
      <w:shd w:val="clear" w:color="auto" w:fill="E1DFDD"/>
    </w:rPr>
  </w:style>
  <w:style w:type="character" w:customStyle="1" w:styleId="apple-converted-space">
    <w:name w:val="apple-converted-space"/>
    <w:basedOn w:val="DefaultParagraphFont"/>
    <w:rsid w:val="000C5621"/>
  </w:style>
  <w:style w:type="character" w:styleId="Emphasis">
    <w:name w:val="Emphasis"/>
    <w:uiPriority w:val="20"/>
    <w:qFormat/>
    <w:rsid w:val="00A7468A"/>
    <w:rPr>
      <w:i/>
      <w:iCs/>
    </w:rPr>
  </w:style>
  <w:style w:type="paragraph" w:styleId="Revision">
    <w:name w:val="Revision"/>
    <w:hidden/>
    <w:uiPriority w:val="99"/>
    <w:semiHidden/>
    <w:rsid w:val="001A4EA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3284">
      <w:bodyDiv w:val="1"/>
      <w:marLeft w:val="0"/>
      <w:marRight w:val="0"/>
      <w:marTop w:val="0"/>
      <w:marBottom w:val="0"/>
      <w:divBdr>
        <w:top w:val="none" w:sz="0" w:space="0" w:color="auto"/>
        <w:left w:val="none" w:sz="0" w:space="0" w:color="auto"/>
        <w:bottom w:val="none" w:sz="0" w:space="0" w:color="auto"/>
        <w:right w:val="none" w:sz="0" w:space="0" w:color="auto"/>
      </w:divBdr>
    </w:div>
    <w:div w:id="41101790">
      <w:bodyDiv w:val="1"/>
      <w:marLeft w:val="0"/>
      <w:marRight w:val="0"/>
      <w:marTop w:val="0"/>
      <w:marBottom w:val="0"/>
      <w:divBdr>
        <w:top w:val="none" w:sz="0" w:space="0" w:color="auto"/>
        <w:left w:val="none" w:sz="0" w:space="0" w:color="auto"/>
        <w:bottom w:val="none" w:sz="0" w:space="0" w:color="auto"/>
        <w:right w:val="none" w:sz="0" w:space="0" w:color="auto"/>
      </w:divBdr>
    </w:div>
    <w:div w:id="122971380">
      <w:bodyDiv w:val="1"/>
      <w:marLeft w:val="0"/>
      <w:marRight w:val="0"/>
      <w:marTop w:val="0"/>
      <w:marBottom w:val="0"/>
      <w:divBdr>
        <w:top w:val="none" w:sz="0" w:space="0" w:color="auto"/>
        <w:left w:val="none" w:sz="0" w:space="0" w:color="auto"/>
        <w:bottom w:val="none" w:sz="0" w:space="0" w:color="auto"/>
        <w:right w:val="none" w:sz="0" w:space="0" w:color="auto"/>
      </w:divBdr>
    </w:div>
    <w:div w:id="227541346">
      <w:bodyDiv w:val="1"/>
      <w:marLeft w:val="0"/>
      <w:marRight w:val="0"/>
      <w:marTop w:val="0"/>
      <w:marBottom w:val="0"/>
      <w:divBdr>
        <w:top w:val="none" w:sz="0" w:space="0" w:color="auto"/>
        <w:left w:val="none" w:sz="0" w:space="0" w:color="auto"/>
        <w:bottom w:val="none" w:sz="0" w:space="0" w:color="auto"/>
        <w:right w:val="none" w:sz="0" w:space="0" w:color="auto"/>
      </w:divBdr>
    </w:div>
    <w:div w:id="273563612">
      <w:bodyDiv w:val="1"/>
      <w:marLeft w:val="0"/>
      <w:marRight w:val="0"/>
      <w:marTop w:val="0"/>
      <w:marBottom w:val="0"/>
      <w:divBdr>
        <w:top w:val="none" w:sz="0" w:space="0" w:color="auto"/>
        <w:left w:val="none" w:sz="0" w:space="0" w:color="auto"/>
        <w:bottom w:val="none" w:sz="0" w:space="0" w:color="auto"/>
        <w:right w:val="none" w:sz="0" w:space="0" w:color="auto"/>
      </w:divBdr>
    </w:div>
    <w:div w:id="308677965">
      <w:bodyDiv w:val="1"/>
      <w:marLeft w:val="0"/>
      <w:marRight w:val="0"/>
      <w:marTop w:val="0"/>
      <w:marBottom w:val="0"/>
      <w:divBdr>
        <w:top w:val="none" w:sz="0" w:space="0" w:color="auto"/>
        <w:left w:val="none" w:sz="0" w:space="0" w:color="auto"/>
        <w:bottom w:val="none" w:sz="0" w:space="0" w:color="auto"/>
        <w:right w:val="none" w:sz="0" w:space="0" w:color="auto"/>
      </w:divBdr>
    </w:div>
    <w:div w:id="539172584">
      <w:bodyDiv w:val="1"/>
      <w:marLeft w:val="0"/>
      <w:marRight w:val="0"/>
      <w:marTop w:val="0"/>
      <w:marBottom w:val="0"/>
      <w:divBdr>
        <w:top w:val="none" w:sz="0" w:space="0" w:color="auto"/>
        <w:left w:val="none" w:sz="0" w:space="0" w:color="auto"/>
        <w:bottom w:val="none" w:sz="0" w:space="0" w:color="auto"/>
        <w:right w:val="none" w:sz="0" w:space="0" w:color="auto"/>
      </w:divBdr>
      <w:divsChild>
        <w:div w:id="155000264">
          <w:marLeft w:val="0"/>
          <w:marRight w:val="0"/>
          <w:marTop w:val="0"/>
          <w:marBottom w:val="0"/>
          <w:divBdr>
            <w:top w:val="none" w:sz="0" w:space="0" w:color="auto"/>
            <w:left w:val="none" w:sz="0" w:space="0" w:color="auto"/>
            <w:bottom w:val="none" w:sz="0" w:space="0" w:color="auto"/>
            <w:right w:val="none" w:sz="0" w:space="0" w:color="auto"/>
          </w:divBdr>
          <w:divsChild>
            <w:div w:id="858006127">
              <w:marLeft w:val="0"/>
              <w:marRight w:val="0"/>
              <w:marTop w:val="0"/>
              <w:marBottom w:val="0"/>
              <w:divBdr>
                <w:top w:val="none" w:sz="0" w:space="0" w:color="auto"/>
                <w:left w:val="none" w:sz="0" w:space="0" w:color="auto"/>
                <w:bottom w:val="none" w:sz="0" w:space="0" w:color="auto"/>
                <w:right w:val="none" w:sz="0" w:space="0" w:color="auto"/>
              </w:divBdr>
              <w:divsChild>
                <w:div w:id="20463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5413">
      <w:bodyDiv w:val="1"/>
      <w:marLeft w:val="0"/>
      <w:marRight w:val="0"/>
      <w:marTop w:val="0"/>
      <w:marBottom w:val="0"/>
      <w:divBdr>
        <w:top w:val="none" w:sz="0" w:space="0" w:color="auto"/>
        <w:left w:val="none" w:sz="0" w:space="0" w:color="auto"/>
        <w:bottom w:val="none" w:sz="0" w:space="0" w:color="auto"/>
        <w:right w:val="none" w:sz="0" w:space="0" w:color="auto"/>
      </w:divBdr>
    </w:div>
    <w:div w:id="715272962">
      <w:bodyDiv w:val="1"/>
      <w:marLeft w:val="0"/>
      <w:marRight w:val="0"/>
      <w:marTop w:val="0"/>
      <w:marBottom w:val="0"/>
      <w:divBdr>
        <w:top w:val="none" w:sz="0" w:space="0" w:color="auto"/>
        <w:left w:val="none" w:sz="0" w:space="0" w:color="auto"/>
        <w:bottom w:val="none" w:sz="0" w:space="0" w:color="auto"/>
        <w:right w:val="none" w:sz="0" w:space="0" w:color="auto"/>
      </w:divBdr>
    </w:div>
    <w:div w:id="754596940">
      <w:bodyDiv w:val="1"/>
      <w:marLeft w:val="0"/>
      <w:marRight w:val="0"/>
      <w:marTop w:val="0"/>
      <w:marBottom w:val="0"/>
      <w:divBdr>
        <w:top w:val="none" w:sz="0" w:space="0" w:color="auto"/>
        <w:left w:val="none" w:sz="0" w:space="0" w:color="auto"/>
        <w:bottom w:val="none" w:sz="0" w:space="0" w:color="auto"/>
        <w:right w:val="none" w:sz="0" w:space="0" w:color="auto"/>
      </w:divBdr>
      <w:divsChild>
        <w:div w:id="1858537484">
          <w:marLeft w:val="0"/>
          <w:marRight w:val="0"/>
          <w:marTop w:val="0"/>
          <w:marBottom w:val="0"/>
          <w:divBdr>
            <w:top w:val="none" w:sz="0" w:space="0" w:color="auto"/>
            <w:left w:val="none" w:sz="0" w:space="0" w:color="auto"/>
            <w:bottom w:val="none" w:sz="0" w:space="0" w:color="auto"/>
            <w:right w:val="none" w:sz="0" w:space="0" w:color="auto"/>
          </w:divBdr>
          <w:divsChild>
            <w:div w:id="220748562">
              <w:marLeft w:val="0"/>
              <w:marRight w:val="0"/>
              <w:marTop w:val="0"/>
              <w:marBottom w:val="0"/>
              <w:divBdr>
                <w:top w:val="none" w:sz="0" w:space="0" w:color="auto"/>
                <w:left w:val="none" w:sz="0" w:space="0" w:color="auto"/>
                <w:bottom w:val="none" w:sz="0" w:space="0" w:color="auto"/>
                <w:right w:val="none" w:sz="0" w:space="0" w:color="auto"/>
              </w:divBdr>
              <w:divsChild>
                <w:div w:id="824706712">
                  <w:marLeft w:val="0"/>
                  <w:marRight w:val="0"/>
                  <w:marTop w:val="0"/>
                  <w:marBottom w:val="0"/>
                  <w:divBdr>
                    <w:top w:val="none" w:sz="0" w:space="0" w:color="auto"/>
                    <w:left w:val="none" w:sz="0" w:space="0" w:color="auto"/>
                    <w:bottom w:val="none" w:sz="0" w:space="0" w:color="auto"/>
                    <w:right w:val="none" w:sz="0" w:space="0" w:color="auto"/>
                  </w:divBdr>
                  <w:divsChild>
                    <w:div w:id="117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5042">
      <w:bodyDiv w:val="1"/>
      <w:marLeft w:val="0"/>
      <w:marRight w:val="0"/>
      <w:marTop w:val="0"/>
      <w:marBottom w:val="0"/>
      <w:divBdr>
        <w:top w:val="none" w:sz="0" w:space="0" w:color="auto"/>
        <w:left w:val="none" w:sz="0" w:space="0" w:color="auto"/>
        <w:bottom w:val="none" w:sz="0" w:space="0" w:color="auto"/>
        <w:right w:val="none" w:sz="0" w:space="0" w:color="auto"/>
      </w:divBdr>
    </w:div>
    <w:div w:id="822552219">
      <w:bodyDiv w:val="1"/>
      <w:marLeft w:val="0"/>
      <w:marRight w:val="0"/>
      <w:marTop w:val="0"/>
      <w:marBottom w:val="0"/>
      <w:divBdr>
        <w:top w:val="none" w:sz="0" w:space="0" w:color="auto"/>
        <w:left w:val="none" w:sz="0" w:space="0" w:color="auto"/>
        <w:bottom w:val="none" w:sz="0" w:space="0" w:color="auto"/>
        <w:right w:val="none" w:sz="0" w:space="0" w:color="auto"/>
      </w:divBdr>
    </w:div>
    <w:div w:id="1021319631">
      <w:bodyDiv w:val="1"/>
      <w:marLeft w:val="0"/>
      <w:marRight w:val="0"/>
      <w:marTop w:val="0"/>
      <w:marBottom w:val="0"/>
      <w:divBdr>
        <w:top w:val="none" w:sz="0" w:space="0" w:color="auto"/>
        <w:left w:val="none" w:sz="0" w:space="0" w:color="auto"/>
        <w:bottom w:val="none" w:sz="0" w:space="0" w:color="auto"/>
        <w:right w:val="none" w:sz="0" w:space="0" w:color="auto"/>
      </w:divBdr>
    </w:div>
    <w:div w:id="1184175514">
      <w:bodyDiv w:val="1"/>
      <w:marLeft w:val="0"/>
      <w:marRight w:val="0"/>
      <w:marTop w:val="0"/>
      <w:marBottom w:val="0"/>
      <w:divBdr>
        <w:top w:val="none" w:sz="0" w:space="0" w:color="auto"/>
        <w:left w:val="none" w:sz="0" w:space="0" w:color="auto"/>
        <w:bottom w:val="none" w:sz="0" w:space="0" w:color="auto"/>
        <w:right w:val="none" w:sz="0" w:space="0" w:color="auto"/>
      </w:divBdr>
    </w:div>
    <w:div w:id="1205484552">
      <w:bodyDiv w:val="1"/>
      <w:marLeft w:val="0"/>
      <w:marRight w:val="0"/>
      <w:marTop w:val="0"/>
      <w:marBottom w:val="0"/>
      <w:divBdr>
        <w:top w:val="none" w:sz="0" w:space="0" w:color="auto"/>
        <w:left w:val="none" w:sz="0" w:space="0" w:color="auto"/>
        <w:bottom w:val="none" w:sz="0" w:space="0" w:color="auto"/>
        <w:right w:val="none" w:sz="0" w:space="0" w:color="auto"/>
      </w:divBdr>
    </w:div>
    <w:div w:id="1337927683">
      <w:bodyDiv w:val="1"/>
      <w:marLeft w:val="0"/>
      <w:marRight w:val="0"/>
      <w:marTop w:val="0"/>
      <w:marBottom w:val="0"/>
      <w:divBdr>
        <w:top w:val="none" w:sz="0" w:space="0" w:color="auto"/>
        <w:left w:val="none" w:sz="0" w:space="0" w:color="auto"/>
        <w:bottom w:val="none" w:sz="0" w:space="0" w:color="auto"/>
        <w:right w:val="none" w:sz="0" w:space="0" w:color="auto"/>
      </w:divBdr>
    </w:div>
    <w:div w:id="1349674849">
      <w:bodyDiv w:val="1"/>
      <w:marLeft w:val="0"/>
      <w:marRight w:val="0"/>
      <w:marTop w:val="0"/>
      <w:marBottom w:val="0"/>
      <w:divBdr>
        <w:top w:val="none" w:sz="0" w:space="0" w:color="auto"/>
        <w:left w:val="none" w:sz="0" w:space="0" w:color="auto"/>
        <w:bottom w:val="none" w:sz="0" w:space="0" w:color="auto"/>
        <w:right w:val="none" w:sz="0" w:space="0" w:color="auto"/>
      </w:divBdr>
      <w:divsChild>
        <w:div w:id="1831407566">
          <w:marLeft w:val="0"/>
          <w:marRight w:val="0"/>
          <w:marTop w:val="0"/>
          <w:marBottom w:val="0"/>
          <w:divBdr>
            <w:top w:val="none" w:sz="0" w:space="0" w:color="auto"/>
            <w:left w:val="none" w:sz="0" w:space="0" w:color="auto"/>
            <w:bottom w:val="none" w:sz="0" w:space="0" w:color="auto"/>
            <w:right w:val="none" w:sz="0" w:space="0" w:color="auto"/>
          </w:divBdr>
          <w:divsChild>
            <w:div w:id="479007589">
              <w:marLeft w:val="0"/>
              <w:marRight w:val="0"/>
              <w:marTop w:val="0"/>
              <w:marBottom w:val="0"/>
              <w:divBdr>
                <w:top w:val="none" w:sz="0" w:space="0" w:color="auto"/>
                <w:left w:val="none" w:sz="0" w:space="0" w:color="auto"/>
                <w:bottom w:val="single" w:sz="6" w:space="0" w:color="F4F4F6"/>
                <w:right w:val="none" w:sz="0" w:space="0" w:color="auto"/>
              </w:divBdr>
              <w:divsChild>
                <w:div w:id="1816945328">
                  <w:marLeft w:val="0"/>
                  <w:marRight w:val="0"/>
                  <w:marTop w:val="0"/>
                  <w:marBottom w:val="0"/>
                  <w:divBdr>
                    <w:top w:val="none" w:sz="0" w:space="0" w:color="auto"/>
                    <w:left w:val="none" w:sz="0" w:space="0" w:color="auto"/>
                    <w:bottom w:val="none" w:sz="0" w:space="0" w:color="auto"/>
                    <w:right w:val="none" w:sz="0" w:space="0" w:color="auto"/>
                  </w:divBdr>
                  <w:divsChild>
                    <w:div w:id="580990415">
                      <w:marLeft w:val="0"/>
                      <w:marRight w:val="0"/>
                      <w:marTop w:val="0"/>
                      <w:marBottom w:val="0"/>
                      <w:divBdr>
                        <w:top w:val="none" w:sz="0" w:space="0" w:color="auto"/>
                        <w:left w:val="none" w:sz="0" w:space="0" w:color="auto"/>
                        <w:bottom w:val="none" w:sz="0" w:space="0" w:color="auto"/>
                        <w:right w:val="none" w:sz="0" w:space="0" w:color="auto"/>
                      </w:divBdr>
                      <w:divsChild>
                        <w:div w:id="568078961">
                          <w:marLeft w:val="0"/>
                          <w:marRight w:val="0"/>
                          <w:marTop w:val="0"/>
                          <w:marBottom w:val="0"/>
                          <w:divBdr>
                            <w:top w:val="none" w:sz="0" w:space="0" w:color="auto"/>
                            <w:left w:val="none" w:sz="0" w:space="0" w:color="auto"/>
                            <w:bottom w:val="none" w:sz="0" w:space="0" w:color="auto"/>
                            <w:right w:val="none" w:sz="0" w:space="0" w:color="auto"/>
                          </w:divBdr>
                          <w:divsChild>
                            <w:div w:id="1898861138">
                              <w:marLeft w:val="0"/>
                              <w:marRight w:val="0"/>
                              <w:marTop w:val="0"/>
                              <w:marBottom w:val="0"/>
                              <w:divBdr>
                                <w:top w:val="none" w:sz="0" w:space="0" w:color="auto"/>
                                <w:left w:val="none" w:sz="0" w:space="0" w:color="auto"/>
                                <w:bottom w:val="none" w:sz="0" w:space="0" w:color="auto"/>
                                <w:right w:val="none" w:sz="0" w:space="0" w:color="auto"/>
                              </w:divBdr>
                              <w:divsChild>
                                <w:div w:id="988245553">
                                  <w:marLeft w:val="0"/>
                                  <w:marRight w:val="0"/>
                                  <w:marTop w:val="0"/>
                                  <w:marBottom w:val="0"/>
                                  <w:divBdr>
                                    <w:top w:val="none" w:sz="0" w:space="0" w:color="auto"/>
                                    <w:left w:val="none" w:sz="0" w:space="0" w:color="auto"/>
                                    <w:bottom w:val="none" w:sz="0" w:space="0" w:color="auto"/>
                                    <w:right w:val="none" w:sz="0" w:space="0" w:color="auto"/>
                                  </w:divBdr>
                                  <w:divsChild>
                                    <w:div w:id="1198347061">
                                      <w:marLeft w:val="0"/>
                                      <w:marRight w:val="0"/>
                                      <w:marTop w:val="0"/>
                                      <w:marBottom w:val="300"/>
                                      <w:divBdr>
                                        <w:top w:val="none" w:sz="0" w:space="0" w:color="auto"/>
                                        <w:left w:val="none" w:sz="0" w:space="0" w:color="auto"/>
                                        <w:bottom w:val="none" w:sz="0" w:space="0" w:color="auto"/>
                                        <w:right w:val="none" w:sz="0" w:space="0" w:color="auto"/>
                                      </w:divBdr>
                                      <w:divsChild>
                                        <w:div w:id="527836585">
                                          <w:marLeft w:val="0"/>
                                          <w:marRight w:val="0"/>
                                          <w:marTop w:val="0"/>
                                          <w:marBottom w:val="0"/>
                                          <w:divBdr>
                                            <w:top w:val="none" w:sz="0" w:space="0" w:color="auto"/>
                                            <w:left w:val="none" w:sz="0" w:space="0" w:color="auto"/>
                                            <w:bottom w:val="none" w:sz="0" w:space="0" w:color="auto"/>
                                            <w:right w:val="none" w:sz="0" w:space="0" w:color="auto"/>
                                          </w:divBdr>
                                          <w:divsChild>
                                            <w:div w:id="428887533">
                                              <w:marLeft w:val="0"/>
                                              <w:marRight w:val="0"/>
                                              <w:marTop w:val="0"/>
                                              <w:marBottom w:val="0"/>
                                              <w:divBdr>
                                                <w:top w:val="none" w:sz="0" w:space="0" w:color="auto"/>
                                                <w:left w:val="none" w:sz="0" w:space="0" w:color="auto"/>
                                                <w:bottom w:val="none" w:sz="0" w:space="0" w:color="auto"/>
                                                <w:right w:val="none" w:sz="0" w:space="0" w:color="auto"/>
                                              </w:divBdr>
                                              <w:divsChild>
                                                <w:div w:id="24838832">
                                                  <w:marLeft w:val="0"/>
                                                  <w:marRight w:val="0"/>
                                                  <w:marTop w:val="0"/>
                                                  <w:marBottom w:val="0"/>
                                                  <w:divBdr>
                                                    <w:top w:val="none" w:sz="0" w:space="0" w:color="auto"/>
                                                    <w:left w:val="none" w:sz="0" w:space="0" w:color="auto"/>
                                                    <w:bottom w:val="none" w:sz="0" w:space="0" w:color="auto"/>
                                                    <w:right w:val="none" w:sz="0" w:space="0" w:color="auto"/>
                                                  </w:divBdr>
                                                  <w:divsChild>
                                                    <w:div w:id="19781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167763">
                          <w:marLeft w:val="0"/>
                          <w:marRight w:val="0"/>
                          <w:marTop w:val="0"/>
                          <w:marBottom w:val="0"/>
                          <w:divBdr>
                            <w:top w:val="none" w:sz="0" w:space="0" w:color="auto"/>
                            <w:left w:val="none" w:sz="0" w:space="0" w:color="auto"/>
                            <w:bottom w:val="none" w:sz="0" w:space="0" w:color="auto"/>
                            <w:right w:val="none" w:sz="0" w:space="0" w:color="auto"/>
                          </w:divBdr>
                          <w:divsChild>
                            <w:div w:id="1705710432">
                              <w:marLeft w:val="0"/>
                              <w:marRight w:val="0"/>
                              <w:marTop w:val="0"/>
                              <w:marBottom w:val="0"/>
                              <w:divBdr>
                                <w:top w:val="none" w:sz="0" w:space="0" w:color="auto"/>
                                <w:left w:val="none" w:sz="0" w:space="0" w:color="auto"/>
                                <w:bottom w:val="none" w:sz="0" w:space="0" w:color="auto"/>
                                <w:right w:val="none" w:sz="0" w:space="0" w:color="auto"/>
                              </w:divBdr>
                              <w:divsChild>
                                <w:div w:id="2146192729">
                                  <w:marLeft w:val="0"/>
                                  <w:marRight w:val="0"/>
                                  <w:marTop w:val="0"/>
                                  <w:marBottom w:val="0"/>
                                  <w:divBdr>
                                    <w:top w:val="none" w:sz="0" w:space="0" w:color="auto"/>
                                    <w:left w:val="none" w:sz="0" w:space="0" w:color="auto"/>
                                    <w:bottom w:val="none" w:sz="0" w:space="0" w:color="auto"/>
                                    <w:right w:val="none" w:sz="0" w:space="0" w:color="auto"/>
                                  </w:divBdr>
                                  <w:divsChild>
                                    <w:div w:id="638606806">
                                      <w:marLeft w:val="0"/>
                                      <w:marRight w:val="0"/>
                                      <w:marTop w:val="0"/>
                                      <w:marBottom w:val="0"/>
                                      <w:divBdr>
                                        <w:top w:val="none" w:sz="0" w:space="0" w:color="auto"/>
                                        <w:left w:val="none" w:sz="0" w:space="0" w:color="auto"/>
                                        <w:bottom w:val="none" w:sz="0" w:space="0" w:color="auto"/>
                                        <w:right w:val="none" w:sz="0" w:space="0" w:color="auto"/>
                                      </w:divBdr>
                                      <w:divsChild>
                                        <w:div w:id="1263293937">
                                          <w:marLeft w:val="0"/>
                                          <w:marRight w:val="0"/>
                                          <w:marTop w:val="0"/>
                                          <w:marBottom w:val="0"/>
                                          <w:divBdr>
                                            <w:top w:val="none" w:sz="0" w:space="0" w:color="auto"/>
                                            <w:left w:val="none" w:sz="0" w:space="0" w:color="auto"/>
                                            <w:bottom w:val="none" w:sz="0" w:space="0" w:color="auto"/>
                                            <w:right w:val="none" w:sz="0" w:space="0" w:color="auto"/>
                                          </w:divBdr>
                                          <w:divsChild>
                                            <w:div w:id="374164954">
                                              <w:marLeft w:val="0"/>
                                              <w:marRight w:val="0"/>
                                              <w:marTop w:val="0"/>
                                              <w:marBottom w:val="0"/>
                                              <w:divBdr>
                                                <w:top w:val="none" w:sz="0" w:space="0" w:color="auto"/>
                                                <w:left w:val="none" w:sz="0" w:space="0" w:color="auto"/>
                                                <w:bottom w:val="none" w:sz="0" w:space="0" w:color="auto"/>
                                                <w:right w:val="none" w:sz="0" w:space="0" w:color="auto"/>
                                              </w:divBdr>
                                              <w:divsChild>
                                                <w:div w:id="13105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480382">
              <w:marLeft w:val="0"/>
              <w:marRight w:val="0"/>
              <w:marTop w:val="0"/>
              <w:marBottom w:val="0"/>
              <w:divBdr>
                <w:top w:val="none" w:sz="0" w:space="0" w:color="auto"/>
                <w:left w:val="none" w:sz="0" w:space="0" w:color="auto"/>
                <w:bottom w:val="none" w:sz="0" w:space="0" w:color="auto"/>
                <w:right w:val="none" w:sz="0" w:space="0" w:color="auto"/>
              </w:divBdr>
              <w:divsChild>
                <w:div w:id="1295063680">
                  <w:marLeft w:val="0"/>
                  <w:marRight w:val="0"/>
                  <w:marTop w:val="0"/>
                  <w:marBottom w:val="0"/>
                  <w:divBdr>
                    <w:top w:val="none" w:sz="0" w:space="0" w:color="auto"/>
                    <w:left w:val="none" w:sz="0" w:space="0" w:color="auto"/>
                    <w:bottom w:val="none" w:sz="0" w:space="0" w:color="auto"/>
                    <w:right w:val="none" w:sz="0" w:space="0" w:color="auto"/>
                  </w:divBdr>
                  <w:divsChild>
                    <w:div w:id="1035302515">
                      <w:marLeft w:val="0"/>
                      <w:marRight w:val="0"/>
                      <w:marTop w:val="0"/>
                      <w:marBottom w:val="0"/>
                      <w:divBdr>
                        <w:top w:val="none" w:sz="0" w:space="0" w:color="auto"/>
                        <w:left w:val="none" w:sz="0" w:space="0" w:color="auto"/>
                        <w:bottom w:val="none" w:sz="0" w:space="0" w:color="auto"/>
                        <w:right w:val="none" w:sz="0" w:space="0" w:color="auto"/>
                      </w:divBdr>
                      <w:divsChild>
                        <w:div w:id="1497064713">
                          <w:marLeft w:val="0"/>
                          <w:marRight w:val="0"/>
                          <w:marTop w:val="0"/>
                          <w:marBottom w:val="0"/>
                          <w:divBdr>
                            <w:top w:val="none" w:sz="0" w:space="0" w:color="auto"/>
                            <w:left w:val="none" w:sz="0" w:space="0" w:color="auto"/>
                            <w:bottom w:val="none" w:sz="0" w:space="0" w:color="auto"/>
                            <w:right w:val="none" w:sz="0" w:space="0" w:color="auto"/>
                          </w:divBdr>
                          <w:divsChild>
                            <w:div w:id="710302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26843">
      <w:bodyDiv w:val="1"/>
      <w:marLeft w:val="0"/>
      <w:marRight w:val="0"/>
      <w:marTop w:val="0"/>
      <w:marBottom w:val="0"/>
      <w:divBdr>
        <w:top w:val="none" w:sz="0" w:space="0" w:color="auto"/>
        <w:left w:val="none" w:sz="0" w:space="0" w:color="auto"/>
        <w:bottom w:val="none" w:sz="0" w:space="0" w:color="auto"/>
        <w:right w:val="none" w:sz="0" w:space="0" w:color="auto"/>
      </w:divBdr>
    </w:div>
    <w:div w:id="1528104676">
      <w:bodyDiv w:val="1"/>
      <w:marLeft w:val="0"/>
      <w:marRight w:val="0"/>
      <w:marTop w:val="0"/>
      <w:marBottom w:val="0"/>
      <w:divBdr>
        <w:top w:val="none" w:sz="0" w:space="0" w:color="auto"/>
        <w:left w:val="none" w:sz="0" w:space="0" w:color="auto"/>
        <w:bottom w:val="none" w:sz="0" w:space="0" w:color="auto"/>
        <w:right w:val="none" w:sz="0" w:space="0" w:color="auto"/>
      </w:divBdr>
    </w:div>
    <w:div w:id="1623875878">
      <w:bodyDiv w:val="1"/>
      <w:marLeft w:val="0"/>
      <w:marRight w:val="0"/>
      <w:marTop w:val="0"/>
      <w:marBottom w:val="0"/>
      <w:divBdr>
        <w:top w:val="none" w:sz="0" w:space="0" w:color="auto"/>
        <w:left w:val="none" w:sz="0" w:space="0" w:color="auto"/>
        <w:bottom w:val="none" w:sz="0" w:space="0" w:color="auto"/>
        <w:right w:val="none" w:sz="0" w:space="0" w:color="auto"/>
      </w:divBdr>
    </w:div>
    <w:div w:id="1627807784">
      <w:bodyDiv w:val="1"/>
      <w:marLeft w:val="0"/>
      <w:marRight w:val="0"/>
      <w:marTop w:val="0"/>
      <w:marBottom w:val="0"/>
      <w:divBdr>
        <w:top w:val="none" w:sz="0" w:space="0" w:color="auto"/>
        <w:left w:val="none" w:sz="0" w:space="0" w:color="auto"/>
        <w:bottom w:val="none" w:sz="0" w:space="0" w:color="auto"/>
        <w:right w:val="none" w:sz="0" w:space="0" w:color="auto"/>
      </w:divBdr>
    </w:div>
    <w:div w:id="20348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ADCD-1768-8344-A38D-B71B80DC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APPLICATION FOR ADMISSION TO THE SIAC PANEL</vt:lpstr>
    </vt:vector>
  </TitlesOfParts>
  <Company>SIAC</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THE SIAC PANEL</dc:title>
  <dc:subject/>
  <dc:creator>rachelfoxton</dc:creator>
  <cp:keywords/>
  <cp:lastModifiedBy>Peter Nahmias</cp:lastModifiedBy>
  <cp:revision>3</cp:revision>
  <cp:lastPrinted>2017-03-15T07:17:00Z</cp:lastPrinted>
  <dcterms:created xsi:type="dcterms:W3CDTF">2022-09-20T10:47:00Z</dcterms:created>
  <dcterms:modified xsi:type="dcterms:W3CDTF">2022-09-20T10:52:00Z</dcterms:modified>
</cp:coreProperties>
</file>